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900" w:lineRule="exact"/>
        <w:jc w:val="center"/>
        <w:rPr>
          <w:rFonts w:hint="eastAsia" w:ascii="黑体" w:eastAsia="黑体"/>
          <w:bCs/>
          <w:color w:val="auto"/>
          <w:sz w:val="44"/>
          <w:szCs w:val="44"/>
          <w:highlight w:val="none"/>
          <w:lang w:val="en-US" w:eastAsia="zh-CN"/>
        </w:rPr>
      </w:pPr>
      <w:r>
        <w:rPr>
          <w:rFonts w:hint="eastAsia" w:ascii="黑体" w:eastAsia="黑体"/>
          <w:bCs/>
          <w:sz w:val="44"/>
          <w:szCs w:val="44"/>
          <w:highlight w:val="none"/>
        </w:rPr>
        <w:tab/>
      </w:r>
      <w:bookmarkStart w:id="0" w:name="_GoBack"/>
      <w:r>
        <w:rPr>
          <w:rFonts w:hint="eastAsia" w:ascii="黑体" w:eastAsia="黑体"/>
          <w:bCs/>
          <w:color w:val="auto"/>
          <w:sz w:val="44"/>
          <w:szCs w:val="44"/>
          <w:highlight w:val="none"/>
          <w:lang w:val="en-US" w:eastAsia="zh-CN"/>
        </w:rPr>
        <w:t>中储粮湖南分公司稻谷</w:t>
      </w:r>
    </w:p>
    <w:p>
      <w:pPr>
        <w:shd w:val="clear"/>
        <w:spacing w:line="900" w:lineRule="exact"/>
        <w:jc w:val="center"/>
        <w:rPr>
          <w:rFonts w:hint="eastAsia" w:ascii="黑体" w:eastAsia="黑体"/>
          <w:bCs/>
          <w:color w:val="auto"/>
          <w:sz w:val="28"/>
          <w:szCs w:val="28"/>
          <w:highlight w:val="none"/>
        </w:rPr>
      </w:pPr>
      <w:r>
        <w:rPr>
          <w:rFonts w:hint="eastAsia" w:ascii="黑体" w:hAnsi="宋体" w:eastAsia="黑体"/>
          <w:bCs/>
          <w:color w:val="auto"/>
          <w:sz w:val="44"/>
          <w:szCs w:val="44"/>
          <w:highlight w:val="none"/>
        </w:rPr>
        <w:t>竞价销售交易规则</w:t>
      </w:r>
    </w:p>
    <w:bookmarkEnd w:id="0"/>
    <w:p>
      <w:pPr>
        <w:shd w:val="clear"/>
        <w:spacing w:line="800" w:lineRule="exact"/>
        <w:jc w:val="center"/>
        <w:rPr>
          <w:rFonts w:hint="eastAsia" w:ascii="黑体" w:eastAsia="黑体"/>
          <w:bCs/>
          <w:color w:val="auto"/>
          <w:sz w:val="32"/>
          <w:highlight w:val="none"/>
        </w:rPr>
      </w:pPr>
      <w:r>
        <w:rPr>
          <w:rFonts w:hint="eastAsia" w:ascii="黑体" w:eastAsia="黑体"/>
          <w:bCs/>
          <w:color w:val="auto"/>
          <w:sz w:val="32"/>
          <w:highlight w:val="none"/>
        </w:rPr>
        <w:t>第一章  总  则</w:t>
      </w:r>
    </w:p>
    <w:p>
      <w:pPr>
        <w:shd w:val="clear" w:color="auto"/>
        <w:spacing w:line="360" w:lineRule="auto"/>
        <w:ind w:firstLine="602" w:firstLineChars="200"/>
        <w:rPr>
          <w:rFonts w:ascii="仿宋" w:hAnsi="仿宋" w:eastAsia="仿宋" w:cs="仿宋_GB2312"/>
          <w:color w:val="auto"/>
          <w:kern w:val="0"/>
          <w:sz w:val="30"/>
          <w:szCs w:val="30"/>
          <w:highlight w:val="none"/>
        </w:rPr>
      </w:pPr>
      <w:r>
        <w:rPr>
          <w:rFonts w:hint="eastAsia" w:ascii="仿宋" w:hAnsi="仿宋" w:eastAsia="仿宋"/>
          <w:b/>
          <w:color w:val="auto"/>
          <w:sz w:val="30"/>
          <w:szCs w:val="30"/>
          <w:highlight w:val="none"/>
        </w:rPr>
        <w:t>第一条</w:t>
      </w:r>
      <w:r>
        <w:rPr>
          <w:rFonts w:hint="eastAsia" w:ascii="仿宋" w:hAnsi="仿宋" w:eastAsia="仿宋"/>
          <w:color w:val="auto"/>
          <w:sz w:val="30"/>
          <w:szCs w:val="30"/>
          <w:highlight w:val="none"/>
        </w:rPr>
        <w:t xml:space="preserve">  </w:t>
      </w:r>
      <w:r>
        <w:rPr>
          <w:rFonts w:hint="eastAsia" w:ascii="仿宋" w:hAnsi="仿宋" w:eastAsia="仿宋" w:cs="仿宋_GB2312"/>
          <w:color w:val="auto"/>
          <w:kern w:val="0"/>
          <w:sz w:val="30"/>
          <w:szCs w:val="30"/>
          <w:highlight w:val="none"/>
        </w:rPr>
        <w:t>依据《粮食流通管理条例》、《粮食竞价销售交易规则》以及有关政策规定，制定本交易规则。</w:t>
      </w:r>
    </w:p>
    <w:p>
      <w:pPr>
        <w:shd w:val="clear"/>
        <w:spacing w:line="560" w:lineRule="exact"/>
        <w:ind w:firstLine="600" w:firstLineChars="200"/>
        <w:rPr>
          <w:rFonts w:hint="eastAsia" w:ascii="仿宋" w:hAnsi="仿宋" w:eastAsia="仿宋"/>
          <w:color w:val="auto"/>
          <w:sz w:val="30"/>
          <w:szCs w:val="30"/>
          <w:highlight w:val="none"/>
        </w:rPr>
      </w:pPr>
      <w:r>
        <w:rPr>
          <w:rFonts w:hint="eastAsia" w:ascii="仿宋" w:hAnsi="仿宋" w:eastAsia="仿宋" w:cs="仿宋_GB2312"/>
          <w:color w:val="auto"/>
          <w:kern w:val="0"/>
          <w:sz w:val="30"/>
          <w:szCs w:val="30"/>
          <w:highlight w:val="none"/>
        </w:rPr>
        <w:t>本规则适用于通过交易平台进行的竞价销售交易活动及其工作人员和交易当事人行为。</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第二条</w:t>
      </w:r>
      <w:r>
        <w:rPr>
          <w:rFonts w:hint="eastAsia" w:ascii="仿宋" w:hAnsi="仿宋" w:eastAsia="仿宋"/>
          <w:color w:val="auto"/>
          <w:sz w:val="30"/>
          <w:szCs w:val="30"/>
          <w:highlight w:val="none"/>
        </w:rPr>
        <w:t xml:space="preserve">  受委托单位（以下简称“委托方”）的委托，湖南粮食中心批发市场（以下简称“湖南市场”）承担</w:t>
      </w:r>
      <w:r>
        <w:rPr>
          <w:rFonts w:hint="eastAsia" w:ascii="仿宋" w:hAnsi="仿宋" w:eastAsia="仿宋"/>
          <w:color w:val="auto"/>
          <w:sz w:val="30"/>
          <w:szCs w:val="30"/>
          <w:highlight w:val="none"/>
          <w:lang w:val="en-US" w:eastAsia="zh-CN"/>
        </w:rPr>
        <w:t>中储粮湖南分公司轮换粮食销售</w:t>
      </w:r>
      <w:r>
        <w:rPr>
          <w:rFonts w:hint="eastAsia" w:ascii="仿宋" w:hAnsi="仿宋" w:eastAsia="仿宋"/>
          <w:color w:val="auto"/>
          <w:sz w:val="30"/>
          <w:szCs w:val="30"/>
          <w:highlight w:val="none"/>
        </w:rPr>
        <w:t>组织工作。委托方作为卖方，具体负责竞买意向会员的提前看样、出库的沟通协调等工作。参加交易的买方必须是在交易平台上依法注册的国内粮食贸易、加工、用粮企业</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且未被纳入中储粮企业黑名单</w:t>
      </w:r>
      <w:r>
        <w:rPr>
          <w:rFonts w:hint="eastAsia" w:ascii="仿宋" w:hAnsi="仿宋" w:eastAsia="仿宋"/>
          <w:color w:val="auto"/>
          <w:sz w:val="30"/>
          <w:szCs w:val="30"/>
          <w:highlight w:val="none"/>
        </w:rPr>
        <w:t>。</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第三条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本次</w:t>
      </w:r>
      <w:r>
        <w:rPr>
          <w:rFonts w:hint="eastAsia" w:ascii="仿宋" w:hAnsi="仿宋" w:eastAsia="仿宋" w:cs="仿宋_GB2312"/>
          <w:color w:val="auto"/>
          <w:kern w:val="0"/>
          <w:sz w:val="30"/>
          <w:szCs w:val="30"/>
          <w:highlight w:val="none"/>
        </w:rPr>
        <w:t>竞价交易遵循“公开、公平、公正、诚实、守信”的原则，</w:t>
      </w:r>
      <w:r>
        <w:rPr>
          <w:rFonts w:ascii="仿宋" w:hAnsi="仿宋" w:eastAsia="仿宋" w:cs="仿宋_GB2312"/>
          <w:color w:val="auto"/>
          <w:kern w:val="0"/>
          <w:sz w:val="30"/>
          <w:szCs w:val="30"/>
          <w:highlight w:val="none"/>
        </w:rPr>
        <w:t>严格按照有关政策文件和轮换计划规定的品种和数量</w:t>
      </w:r>
      <w:r>
        <w:rPr>
          <w:rFonts w:hint="eastAsia" w:ascii="仿宋" w:hAnsi="仿宋" w:eastAsia="仿宋" w:cs="仿宋_GB2312"/>
          <w:color w:val="auto"/>
          <w:kern w:val="0"/>
          <w:sz w:val="30"/>
          <w:szCs w:val="30"/>
          <w:highlight w:val="none"/>
        </w:rPr>
        <w:t>，采用竞价交易方式进行。</w:t>
      </w:r>
    </w:p>
    <w:p>
      <w:pPr>
        <w:shd w:val="clear"/>
        <w:spacing w:line="800" w:lineRule="exact"/>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第二章  交易准备</w:t>
      </w:r>
    </w:p>
    <w:p>
      <w:pPr>
        <w:shd w:val="clear" w:color="auto"/>
        <w:spacing w:line="360" w:lineRule="auto"/>
        <w:ind w:firstLine="602" w:firstLineChars="200"/>
        <w:rPr>
          <w:rFonts w:hint="eastAsia" w:ascii="仿宋" w:hAnsi="仿宋" w:eastAsia="仿宋" w:cs="仿宋_GB2312"/>
          <w:color w:val="auto"/>
          <w:kern w:val="0"/>
          <w:sz w:val="30"/>
          <w:szCs w:val="30"/>
          <w:highlight w:val="none"/>
        </w:rPr>
      </w:pPr>
      <w:r>
        <w:rPr>
          <w:rFonts w:hint="eastAsia" w:ascii="仿宋" w:hAnsi="仿宋" w:eastAsia="仿宋"/>
          <w:b/>
          <w:color w:val="auto"/>
          <w:sz w:val="30"/>
          <w:szCs w:val="30"/>
          <w:highlight w:val="none"/>
        </w:rPr>
        <w:t>第四条</w:t>
      </w:r>
      <w:r>
        <w:rPr>
          <w:rFonts w:hint="eastAsia" w:ascii="仿宋" w:hAnsi="仿宋" w:eastAsia="仿宋"/>
          <w:color w:val="auto"/>
          <w:sz w:val="30"/>
          <w:szCs w:val="30"/>
          <w:highlight w:val="none"/>
        </w:rPr>
        <w:t xml:space="preserve">  委托方须向湖南市场提供《竞价交易委托书》、《竞价交易清单》</w:t>
      </w:r>
      <w:r>
        <w:rPr>
          <w:rFonts w:hint="eastAsia" w:ascii="仿宋" w:hAnsi="仿宋" w:eastAsia="仿宋" w:cs="仿宋_GB2312"/>
          <w:color w:val="auto"/>
          <w:kern w:val="0"/>
          <w:sz w:val="30"/>
          <w:szCs w:val="30"/>
          <w:highlight w:val="none"/>
        </w:rPr>
        <w:t>、《粮食质量检验报告》（有效期</w:t>
      </w:r>
      <w:r>
        <w:rPr>
          <w:rFonts w:hint="eastAsia" w:ascii="仿宋" w:hAnsi="仿宋" w:eastAsia="仿宋" w:cs="仿宋_GB2312"/>
          <w:color w:val="auto"/>
          <w:kern w:val="0"/>
          <w:sz w:val="30"/>
          <w:szCs w:val="30"/>
          <w:highlight w:val="none"/>
          <w:lang w:val="en-US" w:eastAsia="zh-CN"/>
        </w:rPr>
        <w:t>6</w:t>
      </w:r>
      <w:r>
        <w:rPr>
          <w:rFonts w:ascii="仿宋" w:hAnsi="仿宋" w:eastAsia="仿宋" w:cs="仿宋_GB2312"/>
          <w:color w:val="auto"/>
          <w:kern w:val="0"/>
          <w:sz w:val="30"/>
          <w:szCs w:val="30"/>
          <w:highlight w:val="none"/>
        </w:rPr>
        <w:t>个月以内）</w:t>
      </w:r>
      <w:r>
        <w:rPr>
          <w:rFonts w:hint="eastAsia" w:ascii="仿宋" w:hAnsi="仿宋" w:eastAsia="仿宋" w:cs="仿宋_GB2312"/>
          <w:color w:val="auto"/>
          <w:kern w:val="0"/>
          <w:sz w:val="30"/>
          <w:szCs w:val="30"/>
          <w:highlight w:val="none"/>
        </w:rPr>
        <w:t>和轮换文件</w:t>
      </w:r>
      <w:r>
        <w:rPr>
          <w:rFonts w:ascii="仿宋" w:hAnsi="仿宋" w:eastAsia="仿宋" w:cs="仿宋_GB2312"/>
          <w:color w:val="auto"/>
          <w:kern w:val="0"/>
          <w:sz w:val="30"/>
          <w:szCs w:val="30"/>
          <w:highlight w:val="none"/>
        </w:rPr>
        <w:t>等</w:t>
      </w:r>
      <w:r>
        <w:rPr>
          <w:rFonts w:hint="eastAsia" w:ascii="仿宋" w:hAnsi="仿宋" w:eastAsia="仿宋" w:cs="仿宋_GB2312"/>
          <w:color w:val="auto"/>
          <w:kern w:val="0"/>
          <w:sz w:val="30"/>
          <w:szCs w:val="30"/>
          <w:highlight w:val="none"/>
        </w:rPr>
        <w:t>资料，并对其真实性负责。</w:t>
      </w:r>
    </w:p>
    <w:p>
      <w:pPr>
        <w:shd w:val="clear"/>
        <w:spacing w:line="560" w:lineRule="exact"/>
        <w:ind w:firstLine="602" w:firstLineChars="200"/>
        <w:rPr>
          <w:rFonts w:hint="default" w:ascii="仿宋" w:hAnsi="仿宋" w:eastAsia="仿宋"/>
          <w:color w:val="auto"/>
          <w:sz w:val="30"/>
          <w:szCs w:val="30"/>
          <w:highlight w:val="none"/>
          <w:lang w:val="en-US" w:eastAsia="zh-CN"/>
        </w:rPr>
      </w:pPr>
      <w:r>
        <w:rPr>
          <w:rFonts w:hint="eastAsia" w:ascii="仿宋" w:hAnsi="仿宋" w:eastAsia="仿宋"/>
          <w:b/>
          <w:color w:val="auto"/>
          <w:sz w:val="30"/>
          <w:szCs w:val="30"/>
          <w:highlight w:val="none"/>
        </w:rPr>
        <w:t>第五条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zh-CN"/>
        </w:rPr>
        <w:t>参加交易的</w:t>
      </w:r>
      <w:r>
        <w:rPr>
          <w:rFonts w:hint="eastAsia" w:ascii="仿宋" w:hAnsi="仿宋" w:eastAsia="仿宋" w:cs="仿宋_GB2312"/>
          <w:color w:val="auto"/>
          <w:kern w:val="0"/>
          <w:sz w:val="30"/>
          <w:szCs w:val="30"/>
          <w:highlight w:val="none"/>
        </w:rPr>
        <w:t>买方可提前看样并缴纳保证金。本着自愿的原则参加竞价交易。交易前可自行前往实际储存库点看样，并根据所需交易的数量，向湖南市场指定的银行账户预交相应数额的保证金（包括交易保证金和履约保证金）</w:t>
      </w:r>
      <w:r>
        <w:rPr>
          <w:rFonts w:hint="eastAsia" w:ascii="仿宋" w:hAnsi="仿宋" w:eastAsia="仿宋"/>
          <w:color w:val="auto"/>
          <w:sz w:val="30"/>
          <w:szCs w:val="30"/>
          <w:highlight w:val="none"/>
          <w:lang w:val="zh-CN"/>
        </w:rPr>
        <w:t>。</w:t>
      </w:r>
      <w:r>
        <w:rPr>
          <w:rFonts w:hint="eastAsia" w:ascii="仿宋" w:hAnsi="仿宋" w:eastAsia="仿宋"/>
          <w:color w:val="auto"/>
          <w:sz w:val="30"/>
          <w:szCs w:val="30"/>
          <w:highlight w:val="none"/>
          <w:lang w:val="en-US" w:eastAsia="zh-CN"/>
        </w:rPr>
        <w:t>参加交易成交，买方视同已实地看样了解该标的质量等情况。</w:t>
      </w:r>
    </w:p>
    <w:p>
      <w:pPr>
        <w:shd w:val="clear"/>
        <w:spacing w:line="560" w:lineRule="exact"/>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参加</w:t>
      </w:r>
      <w:r>
        <w:rPr>
          <w:rFonts w:hint="eastAsia" w:ascii="仿宋" w:hAnsi="仿宋" w:eastAsia="仿宋"/>
          <w:color w:val="auto"/>
          <w:sz w:val="30"/>
          <w:szCs w:val="30"/>
          <w:highlight w:val="none"/>
        </w:rPr>
        <w:t>交易</w:t>
      </w:r>
      <w:r>
        <w:rPr>
          <w:rFonts w:hint="eastAsia" w:ascii="仿宋" w:hAnsi="仿宋" w:eastAsia="仿宋"/>
          <w:color w:val="auto"/>
          <w:sz w:val="30"/>
          <w:szCs w:val="30"/>
          <w:highlight w:val="none"/>
          <w:lang w:val="en-US" w:eastAsia="zh-CN"/>
        </w:rPr>
        <w:t>买</w:t>
      </w:r>
      <w:r>
        <w:rPr>
          <w:rFonts w:hint="eastAsia" w:ascii="仿宋" w:hAnsi="仿宋" w:eastAsia="仿宋"/>
          <w:color w:val="auto"/>
          <w:sz w:val="30"/>
          <w:szCs w:val="30"/>
          <w:highlight w:val="none"/>
        </w:rPr>
        <w:t>方须在规定的时间内向湖南市场预交交易保证金10元/吨和履约保证金</w:t>
      </w:r>
      <w:r>
        <w:rPr>
          <w:rFonts w:hint="eastAsia" w:ascii="仿宋" w:hAnsi="仿宋" w:eastAsia="仿宋"/>
          <w:color w:val="auto"/>
          <w:sz w:val="30"/>
          <w:szCs w:val="30"/>
          <w:highlight w:val="none"/>
          <w:lang w:val="en-US" w:eastAsia="zh-CN"/>
        </w:rPr>
        <w:t>2</w:t>
      </w:r>
      <w:r>
        <w:rPr>
          <w:rFonts w:hint="eastAsia" w:ascii="仿宋" w:hAnsi="仿宋" w:eastAsia="仿宋"/>
          <w:color w:val="auto"/>
          <w:sz w:val="30"/>
          <w:szCs w:val="30"/>
          <w:highlight w:val="none"/>
        </w:rPr>
        <w:t>00元/吨，在交易前汇至湖南市场指定帐户。</w:t>
      </w:r>
    </w:p>
    <w:p>
      <w:pPr>
        <w:shd w:val="clear"/>
        <w:spacing w:line="560" w:lineRule="exact"/>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湖南市场收取保证金及结算账户：</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开户银行：</w:t>
      </w:r>
      <w:r>
        <w:rPr>
          <w:rFonts w:hint="eastAsia" w:ascii="仿宋" w:hAnsi="仿宋" w:eastAsia="仿宋" w:cs="Arial"/>
          <w:color w:val="auto"/>
          <w:kern w:val="0"/>
          <w:sz w:val="30"/>
          <w:szCs w:val="30"/>
          <w:highlight w:val="none"/>
        </w:rPr>
        <w:t>中国农业发展银行长沙市开福区支行</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户    名：</w:t>
      </w:r>
      <w:r>
        <w:rPr>
          <w:rFonts w:hint="eastAsia" w:ascii="仿宋" w:hAnsi="仿宋" w:eastAsia="仿宋" w:cs="Arial"/>
          <w:color w:val="auto"/>
          <w:kern w:val="0"/>
          <w:sz w:val="30"/>
          <w:szCs w:val="30"/>
          <w:highlight w:val="none"/>
        </w:rPr>
        <w:t>湖南粮食中心批发市场</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帐    号：</w:t>
      </w:r>
      <w:r>
        <w:rPr>
          <w:rFonts w:hint="eastAsia" w:ascii="仿宋" w:hAnsi="仿宋" w:eastAsia="仿宋" w:cs="Arial"/>
          <w:color w:val="auto"/>
          <w:kern w:val="0"/>
          <w:sz w:val="30"/>
          <w:szCs w:val="30"/>
          <w:highlight w:val="none"/>
        </w:rPr>
        <w:t>20343010200100000033161</w:t>
      </w:r>
    </w:p>
    <w:p>
      <w:pPr>
        <w:shd w:val="clear"/>
        <w:autoSpaceDE w:val="0"/>
        <w:autoSpaceDN w:val="0"/>
        <w:adjustRightInd w:val="0"/>
        <w:ind w:firstLine="602" w:firstLineChars="200"/>
        <w:rPr>
          <w:rFonts w:hint="eastAsia" w:ascii="仿宋" w:hAnsi="仿宋" w:eastAsia="仿宋"/>
          <w:color w:val="auto"/>
          <w:sz w:val="30"/>
          <w:szCs w:val="30"/>
          <w:highlight w:val="none"/>
          <w:lang w:val="zh-CN"/>
        </w:rPr>
      </w:pPr>
      <w:r>
        <w:rPr>
          <w:rFonts w:hint="eastAsia" w:ascii="仿宋" w:hAnsi="仿宋" w:eastAsia="仿宋"/>
          <w:b/>
          <w:color w:val="auto"/>
          <w:sz w:val="30"/>
          <w:szCs w:val="30"/>
          <w:highlight w:val="none"/>
        </w:rPr>
        <w:t>第六条</w:t>
      </w:r>
      <w:r>
        <w:rPr>
          <w:rFonts w:hint="eastAsia" w:ascii="仿宋" w:hAnsi="仿宋" w:eastAsia="仿宋"/>
          <w:color w:val="auto"/>
          <w:sz w:val="30"/>
          <w:szCs w:val="30"/>
          <w:highlight w:val="none"/>
        </w:rPr>
        <w:t xml:space="preserve">  </w:t>
      </w:r>
      <w:r>
        <w:rPr>
          <w:rFonts w:hint="eastAsia" w:ascii="仿宋" w:hAnsi="仿宋" w:eastAsia="仿宋"/>
          <w:color w:val="auto"/>
          <w:spacing w:val="7"/>
          <w:sz w:val="30"/>
          <w:szCs w:val="30"/>
          <w:highlight w:val="none"/>
        </w:rPr>
        <w:t>承储库点不得直接或间接购买本库储存的粮食</w:t>
      </w:r>
      <w:r>
        <w:rPr>
          <w:rFonts w:hint="eastAsia" w:ascii="仿宋" w:hAnsi="仿宋" w:eastAsia="仿宋"/>
          <w:color w:val="auto"/>
          <w:spacing w:val="7"/>
          <w:sz w:val="30"/>
          <w:szCs w:val="30"/>
          <w:highlight w:val="none"/>
          <w:lang w:eastAsia="zh-CN"/>
        </w:rPr>
        <w:t>，</w:t>
      </w:r>
      <w:r>
        <w:rPr>
          <w:rFonts w:hint="eastAsia" w:ascii="仿宋" w:hAnsi="仿宋" w:eastAsia="仿宋"/>
          <w:color w:val="auto"/>
          <w:spacing w:val="7"/>
          <w:sz w:val="30"/>
          <w:szCs w:val="30"/>
          <w:highlight w:val="none"/>
          <w:lang w:val="en-US" w:eastAsia="zh-CN"/>
        </w:rPr>
        <w:t>间接购买包括购买己方参股、控股企业实际承储的粮食</w:t>
      </w:r>
      <w:r>
        <w:rPr>
          <w:rFonts w:hint="eastAsia" w:ascii="仿宋" w:hAnsi="仿宋" w:eastAsia="仿宋"/>
          <w:color w:val="auto"/>
          <w:spacing w:val="7"/>
          <w:sz w:val="30"/>
          <w:szCs w:val="30"/>
          <w:highlight w:val="none"/>
        </w:rPr>
        <w:t>。已是交易平台会员的，不需重新报名。</w:t>
      </w:r>
      <w:r>
        <w:rPr>
          <w:rFonts w:hint="eastAsia" w:ascii="仿宋" w:hAnsi="仿宋" w:eastAsia="仿宋"/>
          <w:color w:val="auto"/>
          <w:spacing w:val="7"/>
          <w:sz w:val="30"/>
          <w:szCs w:val="30"/>
          <w:highlight w:val="none"/>
          <w:shd w:val="clear" w:color="auto" w:fill="FFFFFF"/>
        </w:rPr>
        <w:t>非会员企业报名携带以下资料：⑴企业公章；⑵工商营业执照副本原件及加盖公章的复印件一份；⑶银行开户证明及加盖公章的复印件一份；⑷法人代表和交易代表的身份证原件及加盖公章的复印件一份，到企业属地市场报名发放密钥</w:t>
      </w:r>
      <w:r>
        <w:rPr>
          <w:rFonts w:hint="eastAsia"/>
          <w:color w:val="auto"/>
          <w:spacing w:val="7"/>
          <w:sz w:val="29"/>
          <w:szCs w:val="29"/>
          <w:highlight w:val="none"/>
          <w:shd w:val="clear" w:color="auto" w:fill="FFFFFF"/>
        </w:rPr>
        <w:t>。</w:t>
      </w:r>
      <w:r>
        <w:rPr>
          <w:rFonts w:hint="eastAsia" w:ascii="仿宋" w:hAnsi="仿宋" w:eastAsia="仿宋"/>
          <w:color w:val="auto"/>
          <w:sz w:val="30"/>
          <w:szCs w:val="30"/>
          <w:highlight w:val="none"/>
        </w:rPr>
        <w:t>交易代码、</w:t>
      </w:r>
      <w:r>
        <w:rPr>
          <w:rFonts w:hint="eastAsia" w:ascii="仿宋" w:hAnsi="仿宋" w:eastAsia="仿宋"/>
          <w:color w:val="auto"/>
          <w:sz w:val="30"/>
          <w:szCs w:val="30"/>
          <w:highlight w:val="none"/>
          <w:lang w:val="zh-CN"/>
        </w:rPr>
        <w:t>密码及用户密钥等相关资料为交易客户的资格凭证，属交易客户的商业机密，须妥善保管，如丢失或泄露责任自负。</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第七条</w:t>
      </w:r>
      <w:r>
        <w:rPr>
          <w:rFonts w:hint="eastAsia" w:ascii="仿宋" w:hAnsi="仿宋" w:eastAsia="仿宋"/>
          <w:color w:val="auto"/>
          <w:sz w:val="30"/>
          <w:szCs w:val="30"/>
          <w:highlight w:val="none"/>
        </w:rPr>
        <w:t xml:space="preserve">  湖南市场在潇湘粮网</w:t>
      </w:r>
      <w:r>
        <w:rPr>
          <w:rFonts w:hint="eastAsia" w:ascii="仿宋" w:hAnsi="仿宋" w:eastAsia="仿宋"/>
          <w:color w:val="auto"/>
          <w:sz w:val="30"/>
          <w:szCs w:val="30"/>
          <w:highlight w:val="none"/>
        </w:rPr>
        <w:fldChar w:fldCharType="begin"/>
      </w:r>
      <w:r>
        <w:rPr>
          <w:rFonts w:hint="eastAsia" w:ascii="仿宋" w:hAnsi="仿宋" w:eastAsia="仿宋"/>
          <w:color w:val="auto"/>
          <w:sz w:val="30"/>
          <w:szCs w:val="30"/>
          <w:highlight w:val="none"/>
        </w:rPr>
        <w:instrText xml:space="preserve"> HYPERLINK "http://www.hunangrain.com.cn" </w:instrText>
      </w:r>
      <w:r>
        <w:rPr>
          <w:rFonts w:hint="eastAsia" w:ascii="仿宋" w:hAnsi="仿宋" w:eastAsia="仿宋"/>
          <w:color w:val="auto"/>
          <w:sz w:val="30"/>
          <w:szCs w:val="30"/>
          <w:highlight w:val="none"/>
        </w:rPr>
        <w:fldChar w:fldCharType="separate"/>
      </w:r>
      <w:r>
        <w:rPr>
          <w:rStyle w:val="8"/>
          <w:rFonts w:hint="eastAsia" w:ascii="仿宋" w:hAnsi="仿宋" w:eastAsia="仿宋"/>
          <w:color w:val="auto"/>
          <w:sz w:val="30"/>
          <w:szCs w:val="30"/>
          <w:highlight w:val="none"/>
        </w:rPr>
        <w:t>www.hunangrain.com.cn</w:t>
      </w:r>
      <w:r>
        <w:rPr>
          <w:rFonts w:hint="eastAsia" w:ascii="仿宋" w:hAnsi="仿宋" w:eastAsia="仿宋"/>
          <w:color w:val="auto"/>
          <w:sz w:val="30"/>
          <w:szCs w:val="30"/>
          <w:highlight w:val="none"/>
        </w:rPr>
        <w:fldChar w:fldCharType="end"/>
      </w:r>
      <w:r>
        <w:rPr>
          <w:rFonts w:hint="eastAsia" w:ascii="仿宋" w:hAnsi="仿宋" w:eastAsia="仿宋"/>
          <w:color w:val="auto"/>
          <w:sz w:val="30"/>
          <w:szCs w:val="30"/>
          <w:highlight w:val="none"/>
        </w:rPr>
        <w:t>等公开渠道提前发布《交易公告》、《交易清单》，公告时间</w:t>
      </w:r>
      <w:r>
        <w:rPr>
          <w:rFonts w:hint="eastAsia" w:ascii="仿宋" w:hAnsi="仿宋" w:eastAsia="仿宋" w:cs="仿宋_GB2312"/>
          <w:color w:val="auto"/>
          <w:kern w:val="0"/>
          <w:sz w:val="30"/>
          <w:szCs w:val="30"/>
          <w:highlight w:val="none"/>
        </w:rPr>
        <w:t>一般不少于</w:t>
      </w:r>
      <w:r>
        <w:rPr>
          <w:rFonts w:hint="eastAsia" w:ascii="仿宋" w:hAnsi="仿宋" w:eastAsia="仿宋" w:cs="仿宋_GB2312"/>
          <w:color w:val="auto"/>
          <w:kern w:val="0"/>
          <w:sz w:val="30"/>
          <w:szCs w:val="30"/>
          <w:highlight w:val="none"/>
          <w:lang w:val="en-US" w:eastAsia="zh-CN"/>
        </w:rPr>
        <w:t>3</w:t>
      </w:r>
      <w:r>
        <w:rPr>
          <w:rFonts w:hint="eastAsia" w:ascii="仿宋" w:hAnsi="仿宋" w:eastAsia="仿宋" w:cs="仿宋_GB2312"/>
          <w:color w:val="auto"/>
          <w:kern w:val="0"/>
          <w:sz w:val="30"/>
          <w:szCs w:val="30"/>
          <w:highlight w:val="none"/>
        </w:rPr>
        <w:t>天（日历天，下同）。《交易公告》应包括交易时间、方式、地点以及粮食品种、生产年份、数量、实际储存库点及仓号、是否增扣量、是否车（船）板交货价格、注意事项等</w:t>
      </w:r>
      <w:r>
        <w:rPr>
          <w:rFonts w:hint="eastAsia" w:ascii="仿宋" w:hAnsi="仿宋" w:eastAsia="仿宋"/>
          <w:color w:val="auto"/>
          <w:sz w:val="30"/>
          <w:szCs w:val="30"/>
          <w:highlight w:val="none"/>
        </w:rPr>
        <w:t>相关信息，交易客户应及时了解。</w:t>
      </w:r>
    </w:p>
    <w:p>
      <w:pPr>
        <w:shd w:val="clear"/>
        <w:spacing w:line="8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第三章  交易地点、时间</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第八条</w:t>
      </w:r>
      <w:r>
        <w:rPr>
          <w:rFonts w:hint="eastAsia" w:ascii="仿宋" w:hAnsi="仿宋" w:eastAsia="仿宋"/>
          <w:color w:val="auto"/>
          <w:sz w:val="30"/>
          <w:szCs w:val="30"/>
          <w:highlight w:val="none"/>
        </w:rPr>
        <w:t xml:space="preserve">  交易地点设在湖南粮食中心批发市场交易大厅（</w:t>
      </w:r>
      <w:r>
        <w:rPr>
          <w:rFonts w:hint="eastAsia" w:ascii="仿宋" w:hAnsi="仿宋" w:eastAsia="仿宋" w:cs="Arial"/>
          <w:color w:val="auto"/>
          <w:kern w:val="0"/>
          <w:sz w:val="30"/>
          <w:szCs w:val="30"/>
          <w:highlight w:val="none"/>
        </w:rPr>
        <w:t>湖南省长沙市芙蓉北路1949号一楼交易大厅</w:t>
      </w:r>
      <w:r>
        <w:rPr>
          <w:rFonts w:hint="eastAsia" w:ascii="仿宋" w:hAnsi="仿宋" w:eastAsia="仿宋"/>
          <w:color w:val="auto"/>
          <w:sz w:val="30"/>
          <w:szCs w:val="30"/>
          <w:highlight w:val="none"/>
        </w:rPr>
        <w:t>）。</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第九条</w:t>
      </w:r>
      <w:r>
        <w:rPr>
          <w:rFonts w:hint="eastAsia" w:ascii="仿宋" w:hAnsi="仿宋" w:eastAsia="仿宋"/>
          <w:color w:val="auto"/>
          <w:sz w:val="30"/>
          <w:szCs w:val="30"/>
          <w:highlight w:val="none"/>
        </w:rPr>
        <w:t xml:space="preserve">  交易时间以湖南市场的公告交易日为准。</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第十条</w:t>
      </w:r>
      <w:r>
        <w:rPr>
          <w:rFonts w:hint="eastAsia" w:ascii="仿宋" w:hAnsi="仿宋" w:eastAsia="仿宋"/>
          <w:color w:val="auto"/>
          <w:sz w:val="30"/>
          <w:szCs w:val="30"/>
          <w:highlight w:val="none"/>
        </w:rPr>
        <w:t xml:space="preserve">  交易时间如有变更，湖南市场将提前公告。</w:t>
      </w:r>
    </w:p>
    <w:p>
      <w:pPr>
        <w:shd w:val="clear"/>
        <w:spacing w:line="8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第四章  交易组织</w:t>
      </w:r>
    </w:p>
    <w:p>
      <w:pPr>
        <w:shd w:val="clear" w:color="auto"/>
        <w:spacing w:line="360" w:lineRule="auto"/>
        <w:ind w:firstLine="602" w:firstLineChars="200"/>
        <w:rPr>
          <w:rFonts w:hint="eastAsia" w:ascii="仿宋" w:hAnsi="仿宋" w:eastAsia="仿宋" w:cs="方正仿宋_GBK"/>
          <w:color w:val="auto"/>
          <w:kern w:val="0"/>
          <w:sz w:val="30"/>
          <w:szCs w:val="30"/>
          <w:highlight w:val="none"/>
        </w:rPr>
      </w:pPr>
      <w:r>
        <w:rPr>
          <w:rFonts w:hint="eastAsia" w:ascii="仿宋" w:hAnsi="仿宋" w:eastAsia="仿宋"/>
          <w:b/>
          <w:color w:val="auto"/>
          <w:sz w:val="30"/>
          <w:szCs w:val="30"/>
          <w:highlight w:val="none"/>
        </w:rPr>
        <w:t>第十一条</w:t>
      </w:r>
      <w:r>
        <w:rPr>
          <w:rFonts w:hint="eastAsia" w:ascii="仿宋" w:hAnsi="仿宋" w:eastAsia="仿宋"/>
          <w:color w:val="auto"/>
          <w:sz w:val="30"/>
          <w:szCs w:val="30"/>
          <w:highlight w:val="none"/>
        </w:rPr>
        <w:t xml:space="preserve">  </w:t>
      </w:r>
      <w:r>
        <w:rPr>
          <w:rFonts w:hint="eastAsia" w:ascii="仿宋" w:hAnsi="仿宋" w:eastAsia="仿宋" w:cs="方正仿宋_GBK"/>
          <w:color w:val="auto"/>
          <w:kern w:val="0"/>
          <w:sz w:val="30"/>
          <w:szCs w:val="30"/>
          <w:highlight w:val="none"/>
        </w:rPr>
        <w:t>参加现场交易的人员应着装整洁、举止文明，自觉维护现场秩序，服从工作人员统一安排指导。交易大厅内禁止吸烟、打电话和大声喧哗及其他妨碍正常交易的行为。</w:t>
      </w:r>
    </w:p>
    <w:p>
      <w:pPr>
        <w:shd w:val="clear" w:color="auto"/>
        <w:spacing w:line="360" w:lineRule="auto"/>
        <w:ind w:firstLine="602" w:firstLineChars="200"/>
        <w:rPr>
          <w:rFonts w:ascii="仿宋" w:hAnsi="仿宋" w:eastAsia="仿宋" w:cs="方正仿宋_GBK"/>
          <w:color w:val="auto"/>
          <w:kern w:val="0"/>
          <w:sz w:val="30"/>
          <w:szCs w:val="30"/>
          <w:highlight w:val="none"/>
        </w:rPr>
      </w:pPr>
      <w:r>
        <w:rPr>
          <w:rFonts w:hint="eastAsia" w:ascii="仿宋" w:hAnsi="仿宋" w:eastAsia="仿宋" w:cs="方正仿宋_GBK"/>
          <w:b/>
          <w:color w:val="auto"/>
          <w:kern w:val="0"/>
          <w:sz w:val="30"/>
          <w:szCs w:val="30"/>
          <w:highlight w:val="none"/>
        </w:rPr>
        <w:t>第十二条</w:t>
      </w:r>
      <w:r>
        <w:rPr>
          <w:rFonts w:hint="eastAsia" w:ascii="仿宋" w:hAnsi="仿宋" w:eastAsia="仿宋" w:cs="方正仿宋_GBK"/>
          <w:color w:val="auto"/>
          <w:kern w:val="0"/>
          <w:sz w:val="30"/>
          <w:szCs w:val="30"/>
          <w:highlight w:val="none"/>
        </w:rPr>
        <w:t xml:space="preserve">  </w:t>
      </w:r>
      <w:r>
        <w:rPr>
          <w:rFonts w:hint="eastAsia" w:ascii="仿宋" w:hAnsi="仿宋" w:eastAsia="仿宋" w:cs="仿宋_GB2312"/>
          <w:color w:val="auto"/>
          <w:kern w:val="0"/>
          <w:sz w:val="30"/>
          <w:szCs w:val="30"/>
          <w:highlight w:val="none"/>
        </w:rPr>
        <w:t>参加远程交易的，交易代表</w:t>
      </w:r>
      <w:r>
        <w:rPr>
          <w:rFonts w:hint="eastAsia" w:ascii="仿宋" w:hAnsi="仿宋" w:eastAsia="仿宋"/>
          <w:color w:val="auto"/>
          <w:spacing w:val="7"/>
          <w:sz w:val="30"/>
          <w:szCs w:val="30"/>
          <w:highlight w:val="none"/>
          <w:shd w:val="clear" w:color="auto" w:fill="FFFFFF"/>
        </w:rPr>
        <w:t>通过国家粮食交易中心网站（www.grainmarket.com.cn）登录 “交易→湖南市场→公告上所示交易专场”参与交易。</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第十三条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zh-CN"/>
        </w:rPr>
        <w:t>交易活动必须按照湖南市场确定的交易方式、交易程序进行，并在</w:t>
      </w:r>
      <w:r>
        <w:rPr>
          <w:rFonts w:hint="eastAsia" w:ascii="仿宋" w:hAnsi="仿宋" w:eastAsia="仿宋"/>
          <w:color w:val="auto"/>
          <w:sz w:val="30"/>
          <w:szCs w:val="30"/>
          <w:highlight w:val="none"/>
        </w:rPr>
        <w:t>《交易公告》中公示</w:t>
      </w:r>
      <w:r>
        <w:rPr>
          <w:rFonts w:hint="eastAsia" w:ascii="仿宋" w:hAnsi="仿宋" w:eastAsia="仿宋"/>
          <w:color w:val="auto"/>
          <w:sz w:val="30"/>
          <w:szCs w:val="30"/>
          <w:highlight w:val="none"/>
          <w:lang w:val="zh-CN"/>
        </w:rPr>
        <w:t>。</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第十四条</w:t>
      </w:r>
      <w:r>
        <w:rPr>
          <w:rFonts w:hint="eastAsia" w:ascii="仿宋" w:hAnsi="仿宋" w:eastAsia="仿宋"/>
          <w:color w:val="auto"/>
          <w:sz w:val="30"/>
          <w:szCs w:val="30"/>
          <w:highlight w:val="none"/>
        </w:rPr>
        <w:t xml:space="preserve">  禁止恶意串通交易价格等损害他人利益的一切行为。对严重扰乱交易秩序、恶意竞拍的人员，湖南市场有权取消其交易资格并责令其离场，严重者将交由公安机关处理。</w:t>
      </w:r>
    </w:p>
    <w:p>
      <w:pPr>
        <w:shd w:val="clear"/>
        <w:spacing w:line="8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第五章  交易程序</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第十五条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zh-CN"/>
        </w:rPr>
        <w:t>交易报价为</w:t>
      </w:r>
      <w:r>
        <w:rPr>
          <w:rFonts w:hint="eastAsia" w:ascii="仿宋" w:hAnsi="仿宋" w:eastAsia="仿宋"/>
          <w:color w:val="auto"/>
          <w:sz w:val="30"/>
          <w:szCs w:val="30"/>
          <w:highlight w:val="none"/>
        </w:rPr>
        <w:t>卖方仓库仓内</w:t>
      </w:r>
      <w:r>
        <w:rPr>
          <w:rFonts w:hint="eastAsia" w:ascii="仿宋" w:hAnsi="仿宋" w:eastAsia="仿宋"/>
          <w:color w:val="auto"/>
          <w:spacing w:val="6"/>
          <w:sz w:val="30"/>
          <w:szCs w:val="30"/>
          <w:highlight w:val="none"/>
          <w:lang w:val="zh-CN"/>
        </w:rPr>
        <w:t>汽车板交货</w:t>
      </w:r>
      <w:r>
        <w:rPr>
          <w:rFonts w:hint="eastAsia" w:ascii="仿宋" w:hAnsi="仿宋" w:eastAsia="仿宋"/>
          <w:color w:val="auto"/>
          <w:spacing w:val="6"/>
          <w:sz w:val="30"/>
          <w:szCs w:val="30"/>
          <w:highlight w:val="none"/>
          <w:lang w:val="en-US" w:eastAsia="zh-CN"/>
        </w:rPr>
        <w:t>价</w:t>
      </w:r>
      <w:r>
        <w:rPr>
          <w:rFonts w:hint="eastAsia" w:ascii="仿宋" w:hAnsi="仿宋" w:eastAsia="仿宋"/>
          <w:color w:val="auto"/>
          <w:spacing w:val="6"/>
          <w:sz w:val="30"/>
          <w:szCs w:val="30"/>
          <w:highlight w:val="none"/>
          <w:lang w:val="zh-CN"/>
        </w:rPr>
        <w:t>。</w:t>
      </w:r>
      <w:r>
        <w:rPr>
          <w:rFonts w:hint="eastAsia" w:ascii="仿宋" w:hAnsi="仿宋" w:eastAsia="仿宋"/>
          <w:color w:val="auto"/>
          <w:sz w:val="30"/>
          <w:szCs w:val="30"/>
          <w:highlight w:val="none"/>
        </w:rPr>
        <w:t>委托方另有要求的，以《交易公告》和《交易清单》公示的内容为准。</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第十六条</w:t>
      </w:r>
      <w:r>
        <w:rPr>
          <w:rFonts w:hint="eastAsia" w:ascii="仿宋" w:hAnsi="仿宋" w:eastAsia="仿宋"/>
          <w:color w:val="auto"/>
          <w:sz w:val="30"/>
          <w:szCs w:val="30"/>
          <w:highlight w:val="none"/>
        </w:rPr>
        <w:t xml:space="preserve">  竞价交易</w:t>
      </w:r>
      <w:r>
        <w:rPr>
          <w:rFonts w:ascii="仿宋" w:hAnsi="仿宋" w:eastAsia="仿宋"/>
          <w:color w:val="auto"/>
          <w:sz w:val="30"/>
          <w:szCs w:val="30"/>
          <w:highlight w:val="none"/>
        </w:rPr>
        <w:t>采用现场及网上电子竞价交易方式</w:t>
      </w:r>
      <w:r>
        <w:rPr>
          <w:rFonts w:hint="eastAsia" w:ascii="仿宋" w:hAnsi="仿宋" w:eastAsia="仿宋"/>
          <w:color w:val="auto"/>
          <w:sz w:val="30"/>
          <w:szCs w:val="30"/>
          <w:highlight w:val="none"/>
        </w:rPr>
        <w:t>。按委托标的序号顺序，依次按交易节进行。</w:t>
      </w:r>
    </w:p>
    <w:p>
      <w:pPr>
        <w:shd w:val="clear"/>
        <w:spacing w:line="560" w:lineRule="exact"/>
        <w:ind w:firstLine="602" w:firstLineChars="200"/>
        <w:rPr>
          <w:rFonts w:hint="eastAsia" w:ascii="仿宋" w:hAnsi="仿宋" w:eastAsia="仿宋"/>
          <w:color w:val="auto"/>
          <w:kern w:val="0"/>
          <w:sz w:val="30"/>
          <w:szCs w:val="30"/>
          <w:highlight w:val="none"/>
        </w:rPr>
      </w:pPr>
      <w:r>
        <w:rPr>
          <w:rFonts w:hint="eastAsia" w:ascii="仿宋" w:hAnsi="仿宋" w:eastAsia="仿宋"/>
          <w:b/>
          <w:color w:val="auto"/>
          <w:sz w:val="30"/>
          <w:szCs w:val="30"/>
          <w:highlight w:val="none"/>
        </w:rPr>
        <w:t>第十七条</w:t>
      </w:r>
      <w:r>
        <w:rPr>
          <w:rFonts w:hint="eastAsia" w:ascii="仿宋" w:hAnsi="仿宋" w:eastAsia="仿宋"/>
          <w:color w:val="auto"/>
          <w:sz w:val="30"/>
          <w:szCs w:val="30"/>
          <w:highlight w:val="none"/>
        </w:rPr>
        <w:t xml:space="preserve">  </w:t>
      </w:r>
      <w:r>
        <w:rPr>
          <w:rFonts w:hint="eastAsia" w:ascii="仿宋" w:hAnsi="仿宋" w:eastAsia="仿宋"/>
          <w:color w:val="auto"/>
          <w:kern w:val="0"/>
          <w:sz w:val="30"/>
          <w:szCs w:val="30"/>
          <w:highlight w:val="none"/>
        </w:rPr>
        <w:t>开市后，竞买人通过交易终端按交易节逐节进行交易。每笔交易从标的起拍价价位开始报价，并按每吨</w:t>
      </w:r>
      <w:r>
        <w:rPr>
          <w:rFonts w:hint="eastAsia" w:ascii="仿宋" w:hAnsi="仿宋" w:eastAsia="仿宋"/>
          <w:color w:val="auto"/>
          <w:kern w:val="0"/>
          <w:sz w:val="30"/>
          <w:szCs w:val="30"/>
          <w:highlight w:val="none"/>
          <w:lang w:val="en-US" w:eastAsia="zh-CN"/>
        </w:rPr>
        <w:t>5</w:t>
      </w:r>
      <w:r>
        <w:rPr>
          <w:rFonts w:hint="eastAsia" w:ascii="仿宋" w:hAnsi="仿宋" w:eastAsia="仿宋"/>
          <w:color w:val="auto"/>
          <w:kern w:val="0"/>
          <w:sz w:val="30"/>
          <w:szCs w:val="30"/>
          <w:highlight w:val="none"/>
        </w:rPr>
        <w:t>元的价位递升报价（</w:t>
      </w:r>
      <w:r>
        <w:rPr>
          <w:rFonts w:hint="eastAsia" w:ascii="仿宋" w:hAnsi="仿宋" w:eastAsia="仿宋"/>
          <w:color w:val="auto"/>
          <w:sz w:val="30"/>
          <w:szCs w:val="30"/>
          <w:highlight w:val="none"/>
        </w:rPr>
        <w:t>委托方另有要求的，以《交易公告》公示的内容为准）</w:t>
      </w:r>
      <w:r>
        <w:rPr>
          <w:rFonts w:hint="eastAsia" w:ascii="仿宋" w:hAnsi="仿宋" w:eastAsia="仿宋"/>
          <w:color w:val="auto"/>
          <w:kern w:val="0"/>
          <w:sz w:val="30"/>
          <w:szCs w:val="30"/>
          <w:highlight w:val="none"/>
        </w:rPr>
        <w:t>。</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第十八条</w:t>
      </w:r>
      <w:r>
        <w:rPr>
          <w:rFonts w:hint="eastAsia" w:ascii="仿宋" w:hAnsi="仿宋" w:eastAsia="仿宋"/>
          <w:color w:val="auto"/>
          <w:sz w:val="30"/>
          <w:szCs w:val="30"/>
          <w:highlight w:val="none"/>
        </w:rPr>
        <w:t xml:space="preserve">  竞买人应点击计算机报价，竞价数量已超过预交保证金所能购买数量的不可再参加竞价。</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第十九条</w:t>
      </w:r>
      <w:r>
        <w:rPr>
          <w:rFonts w:hint="eastAsia" w:ascii="仿宋" w:hAnsi="仿宋" w:eastAsia="仿宋"/>
          <w:color w:val="auto"/>
          <w:sz w:val="30"/>
          <w:szCs w:val="30"/>
          <w:highlight w:val="none"/>
        </w:rPr>
        <w:t xml:space="preserve">  竞买人一经应价，不得撤回。</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第二十条</w:t>
      </w:r>
      <w:r>
        <w:rPr>
          <w:rFonts w:hint="eastAsia" w:ascii="仿宋" w:hAnsi="仿宋" w:eastAsia="仿宋"/>
          <w:color w:val="auto"/>
          <w:sz w:val="30"/>
          <w:szCs w:val="30"/>
          <w:highlight w:val="none"/>
        </w:rPr>
        <w:t xml:space="preserve">  在标的起拍价价位上无人应价的，该笔标的流拍。</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第二十一条</w:t>
      </w:r>
      <w:r>
        <w:rPr>
          <w:rFonts w:hint="eastAsia" w:ascii="仿宋" w:hAnsi="仿宋" w:eastAsia="仿宋"/>
          <w:color w:val="auto"/>
          <w:sz w:val="30"/>
          <w:szCs w:val="30"/>
          <w:highlight w:val="none"/>
        </w:rPr>
        <w:t xml:space="preserve">  竞买人在新价位应价并被交易平台确认后，前一价位的应价自动失效。竞买人报价后，在规定的时间内如无其它竞买人以更高的价格应价，则该报价为标的的成交价，该竞买人为标的物的买方，本次交易即确定成交。</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 xml:space="preserve">第二十二条 </w:t>
      </w:r>
      <w:r>
        <w:rPr>
          <w:rFonts w:hint="eastAsia" w:ascii="仿宋" w:hAnsi="仿宋" w:eastAsia="仿宋"/>
          <w:color w:val="auto"/>
          <w:sz w:val="30"/>
          <w:szCs w:val="30"/>
          <w:highlight w:val="none"/>
        </w:rPr>
        <w:t xml:space="preserve"> </w:t>
      </w:r>
      <w:r>
        <w:rPr>
          <w:rFonts w:ascii="仿宋" w:hAnsi="仿宋" w:eastAsia="仿宋"/>
          <w:color w:val="auto"/>
          <w:sz w:val="30"/>
          <w:szCs w:val="30"/>
          <w:highlight w:val="none"/>
        </w:rPr>
        <w:t>交易合同自系统确定竞价成交之日起生效</w:t>
      </w:r>
      <w:r>
        <w:rPr>
          <w:rFonts w:hint="eastAsia" w:ascii="仿宋" w:hAnsi="仿宋" w:eastAsia="仿宋"/>
          <w:color w:val="auto"/>
          <w:spacing w:val="6"/>
          <w:sz w:val="30"/>
          <w:szCs w:val="30"/>
          <w:highlight w:val="none"/>
          <w:lang w:val="zh-CN"/>
        </w:rPr>
        <w:t>。</w:t>
      </w:r>
      <w:r>
        <w:rPr>
          <w:rFonts w:hint="eastAsia" w:ascii="仿宋" w:hAnsi="仿宋" w:eastAsia="仿宋"/>
          <w:color w:val="auto"/>
          <w:sz w:val="30"/>
          <w:szCs w:val="30"/>
          <w:highlight w:val="none"/>
          <w:lang w:val="zh-CN"/>
        </w:rPr>
        <w:t>竞价交易结束后，</w:t>
      </w:r>
      <w:r>
        <w:rPr>
          <w:rFonts w:hint="eastAsia" w:ascii="仿宋" w:hAnsi="仿宋" w:eastAsia="仿宋"/>
          <w:color w:val="auto"/>
          <w:sz w:val="30"/>
          <w:szCs w:val="30"/>
          <w:highlight w:val="none"/>
        </w:rPr>
        <w:t>交易成交双方应及时通过交易平台在《交易合同》上盖章。</w:t>
      </w:r>
    </w:p>
    <w:p>
      <w:pPr>
        <w:shd w:val="clear" w:color="auto"/>
        <w:spacing w:line="360" w:lineRule="auto"/>
        <w:ind w:firstLine="602" w:firstLineChars="200"/>
        <w:rPr>
          <w:rFonts w:ascii="仿宋_GB2312" w:hAnsi="仿宋_GB2312" w:eastAsia="仿宋_GB2312" w:cs="仿宋_GB2312"/>
          <w:color w:val="auto"/>
          <w:kern w:val="0"/>
          <w:sz w:val="30"/>
          <w:szCs w:val="30"/>
          <w:highlight w:val="none"/>
        </w:rPr>
      </w:pPr>
      <w:r>
        <w:rPr>
          <w:rFonts w:hint="eastAsia" w:ascii="仿宋" w:hAnsi="仿宋" w:eastAsia="仿宋" w:cs="黑体"/>
          <w:b/>
          <w:color w:val="auto"/>
          <w:kern w:val="0"/>
          <w:sz w:val="30"/>
          <w:szCs w:val="30"/>
          <w:highlight w:val="none"/>
        </w:rPr>
        <w:t>第二十三条</w:t>
      </w:r>
      <w:r>
        <w:rPr>
          <w:rFonts w:ascii="黑体" w:hAnsi="黑体" w:eastAsia="黑体" w:cs="黑体"/>
          <w:color w:val="auto"/>
          <w:kern w:val="0"/>
          <w:sz w:val="32"/>
          <w:szCs w:val="32"/>
          <w:highlight w:val="none"/>
        </w:rPr>
        <w:t xml:space="preserve"> </w:t>
      </w:r>
      <w:r>
        <w:rPr>
          <w:rFonts w:hint="eastAsia" w:ascii="仿宋" w:hAnsi="仿宋" w:eastAsia="仿宋" w:cs="仿宋_GB2312"/>
          <w:color w:val="auto"/>
          <w:kern w:val="0"/>
          <w:sz w:val="30"/>
          <w:szCs w:val="30"/>
          <w:highlight w:val="none"/>
        </w:rPr>
        <w:t>因公共网络故障等不可抗力原因造成交易中断的，湖南市场不承担责任，并有权推迟或暂停交易。推迟、暂停及恢复交易，湖南市场应及时公告。竞买方终端设备、网络等出现故障，不影响交易正常进行。</w:t>
      </w:r>
    </w:p>
    <w:p>
      <w:pPr>
        <w:shd w:val="clear"/>
        <w:spacing w:line="8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第六章  交割和结算</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第二十四条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zh-CN"/>
        </w:rPr>
        <w:t>买卖双方应严格履行《交易合同》规定的责任义务，并享有《交易合同》规定的权利。</w:t>
      </w:r>
    </w:p>
    <w:p>
      <w:pPr>
        <w:shd w:val="clear" w:color="auto"/>
        <w:spacing w:line="360" w:lineRule="auto"/>
        <w:ind w:firstLine="602" w:firstLineChars="200"/>
        <w:rPr>
          <w:rFonts w:ascii="仿宋" w:hAnsi="仿宋" w:eastAsia="仿宋" w:cs="仿宋_GB2312"/>
          <w:color w:val="auto"/>
          <w:kern w:val="0"/>
          <w:sz w:val="30"/>
          <w:szCs w:val="30"/>
          <w:highlight w:val="none"/>
          <w:shd w:val="clear" w:color="FFFFFF" w:fill="D9D9D9"/>
        </w:rPr>
      </w:pPr>
      <w:r>
        <w:rPr>
          <w:rFonts w:hint="eastAsia" w:ascii="仿宋" w:hAnsi="仿宋" w:eastAsia="仿宋"/>
          <w:b/>
          <w:color w:val="auto"/>
          <w:sz w:val="30"/>
          <w:szCs w:val="30"/>
          <w:highlight w:val="none"/>
        </w:rPr>
        <w:t>第二十五条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本场竞价销售交易出库期限以交易清单为准。</w:t>
      </w:r>
      <w:r>
        <w:rPr>
          <w:rFonts w:ascii="仿宋" w:hAnsi="仿宋" w:eastAsia="仿宋" w:cs="仿宋_GB2312"/>
          <w:color w:val="auto"/>
          <w:kern w:val="0"/>
          <w:sz w:val="30"/>
          <w:szCs w:val="30"/>
          <w:highlight w:val="none"/>
        </w:rPr>
        <w:t>同一买方在同一</w:t>
      </w:r>
      <w:r>
        <w:rPr>
          <w:rFonts w:hint="eastAsia" w:ascii="仿宋" w:hAnsi="仿宋" w:eastAsia="仿宋" w:cs="仿宋_GB2312"/>
          <w:color w:val="auto"/>
          <w:kern w:val="0"/>
          <w:sz w:val="30"/>
          <w:szCs w:val="30"/>
          <w:highlight w:val="none"/>
        </w:rPr>
        <w:t>实际储存</w:t>
      </w:r>
      <w:r>
        <w:rPr>
          <w:rFonts w:ascii="仿宋" w:hAnsi="仿宋" w:eastAsia="仿宋" w:cs="仿宋_GB2312"/>
          <w:color w:val="auto"/>
          <w:kern w:val="0"/>
          <w:sz w:val="30"/>
          <w:szCs w:val="30"/>
          <w:highlight w:val="none"/>
        </w:rPr>
        <w:t>库点、同一批次购买粮食数量在2000吨（含）以上的，或</w:t>
      </w:r>
      <w:r>
        <w:rPr>
          <w:rFonts w:hint="eastAsia" w:ascii="仿宋" w:hAnsi="仿宋" w:eastAsia="仿宋" w:cs="仿宋_GB2312"/>
          <w:color w:val="auto"/>
          <w:kern w:val="0"/>
          <w:sz w:val="30"/>
          <w:szCs w:val="30"/>
          <w:highlight w:val="none"/>
        </w:rPr>
        <w:t>农历</w:t>
      </w:r>
      <w:r>
        <w:rPr>
          <w:rFonts w:ascii="仿宋" w:hAnsi="仿宋" w:eastAsia="仿宋" w:cs="仿宋_GB2312"/>
          <w:color w:val="auto"/>
          <w:kern w:val="0"/>
          <w:sz w:val="30"/>
          <w:szCs w:val="30"/>
          <w:highlight w:val="none"/>
        </w:rPr>
        <w:t>除夕前45天内成交的粮食，付款期</w:t>
      </w:r>
      <w:r>
        <w:rPr>
          <w:rFonts w:hint="eastAsia" w:ascii="仿宋" w:hAnsi="仿宋" w:eastAsia="仿宋" w:cs="仿宋_GB2312"/>
          <w:color w:val="auto"/>
          <w:kern w:val="0"/>
          <w:sz w:val="30"/>
          <w:szCs w:val="30"/>
          <w:highlight w:val="none"/>
        </w:rPr>
        <w:t>限</w:t>
      </w:r>
      <w:r>
        <w:rPr>
          <w:rFonts w:ascii="仿宋" w:hAnsi="仿宋" w:eastAsia="仿宋" w:cs="仿宋_GB2312"/>
          <w:color w:val="auto"/>
          <w:kern w:val="0"/>
          <w:sz w:val="30"/>
          <w:szCs w:val="30"/>
          <w:highlight w:val="none"/>
        </w:rPr>
        <w:t>、出库</w:t>
      </w:r>
      <w:r>
        <w:rPr>
          <w:rFonts w:hint="eastAsia" w:ascii="仿宋" w:hAnsi="仿宋" w:eastAsia="仿宋" w:cs="仿宋_GB2312"/>
          <w:color w:val="auto"/>
          <w:kern w:val="0"/>
          <w:sz w:val="30"/>
          <w:szCs w:val="30"/>
          <w:highlight w:val="none"/>
        </w:rPr>
        <w:t>期限均</w:t>
      </w:r>
      <w:r>
        <w:rPr>
          <w:rFonts w:ascii="仿宋" w:hAnsi="仿宋" w:eastAsia="仿宋" w:cs="仿宋_GB2312"/>
          <w:color w:val="auto"/>
          <w:kern w:val="0"/>
          <w:sz w:val="30"/>
          <w:szCs w:val="30"/>
          <w:highlight w:val="none"/>
        </w:rPr>
        <w:t>可延长15天。</w:t>
      </w:r>
    </w:p>
    <w:p>
      <w:pPr>
        <w:shd w:val="clear" w:color="auto"/>
        <w:spacing w:line="360" w:lineRule="auto"/>
        <w:ind w:firstLine="600" w:firstLineChars="200"/>
        <w:rPr>
          <w:rFonts w:hint="eastAsia" w:ascii="仿宋" w:hAnsi="仿宋" w:eastAsia="仿宋"/>
          <w:color w:val="auto"/>
          <w:sz w:val="30"/>
          <w:szCs w:val="30"/>
          <w:highlight w:val="none"/>
        </w:rPr>
      </w:pPr>
      <w:r>
        <w:rPr>
          <w:rFonts w:ascii="仿宋" w:hAnsi="仿宋" w:eastAsia="仿宋" w:cs="仿宋_GB2312"/>
          <w:color w:val="auto"/>
          <w:kern w:val="0"/>
          <w:sz w:val="30"/>
          <w:szCs w:val="30"/>
          <w:highlight w:val="none"/>
        </w:rPr>
        <w:t>有关部门对出库</w:t>
      </w:r>
      <w:r>
        <w:rPr>
          <w:rFonts w:hint="eastAsia" w:ascii="仿宋" w:hAnsi="仿宋" w:eastAsia="仿宋" w:cs="仿宋_GB2312"/>
          <w:color w:val="auto"/>
          <w:kern w:val="0"/>
          <w:sz w:val="30"/>
          <w:szCs w:val="30"/>
          <w:highlight w:val="none"/>
        </w:rPr>
        <w:t>期限有文件规定或委托单位另有要求的，</w:t>
      </w:r>
      <w:r>
        <w:rPr>
          <w:rFonts w:hint="eastAsia" w:ascii="仿宋" w:hAnsi="仿宋" w:eastAsia="仿宋"/>
          <w:color w:val="auto"/>
          <w:sz w:val="30"/>
          <w:szCs w:val="30"/>
          <w:highlight w:val="none"/>
        </w:rPr>
        <w:t>以《交易公告》和《交易清单》公示的内容为准。</w:t>
      </w:r>
    </w:p>
    <w:p>
      <w:pPr>
        <w:shd w:val="clear" w:color="auto"/>
        <w:spacing w:line="360" w:lineRule="auto"/>
        <w:ind w:firstLine="602" w:firstLineChars="200"/>
        <w:rPr>
          <w:rFonts w:ascii="仿宋" w:hAnsi="仿宋" w:eastAsia="仿宋" w:cs="仿宋_GB2312"/>
          <w:color w:val="auto"/>
          <w:kern w:val="0"/>
          <w:sz w:val="30"/>
          <w:szCs w:val="30"/>
          <w:highlight w:val="none"/>
        </w:rPr>
      </w:pPr>
      <w:r>
        <w:rPr>
          <w:rFonts w:hint="eastAsia" w:ascii="仿宋" w:hAnsi="仿宋" w:eastAsia="仿宋" w:cs="方正黑体_GBK"/>
          <w:b/>
          <w:color w:val="auto"/>
          <w:kern w:val="0"/>
          <w:sz w:val="30"/>
          <w:szCs w:val="30"/>
          <w:highlight w:val="none"/>
        </w:rPr>
        <w:t>第二十六条</w:t>
      </w:r>
      <w:r>
        <w:rPr>
          <w:rFonts w:hint="eastAsia" w:ascii="仿宋" w:hAnsi="仿宋" w:eastAsia="仿宋" w:cs="仿宋_GB2312"/>
          <w:color w:val="auto"/>
          <w:kern w:val="0"/>
          <w:sz w:val="30"/>
          <w:szCs w:val="30"/>
          <w:highlight w:val="none"/>
        </w:rPr>
        <w:t xml:space="preserve">  除第二十五条规定情形外，因特殊原因确需延长付款期限或出库期限的，买卖双方可通过交易平台提出延期申请，经对方同意、湖南市场审核后，可办理延期付款或延期出库手续，但延期付款或延期出库期限最长不得超过</w:t>
      </w:r>
      <w:r>
        <w:rPr>
          <w:rFonts w:ascii="仿宋" w:hAnsi="仿宋" w:eastAsia="仿宋" w:cs="仿宋_GB2312"/>
          <w:color w:val="auto"/>
          <w:kern w:val="0"/>
          <w:sz w:val="30"/>
          <w:szCs w:val="30"/>
          <w:highlight w:val="none"/>
        </w:rPr>
        <w:t>2个月</w:t>
      </w:r>
      <w:r>
        <w:rPr>
          <w:rFonts w:hint="eastAsia" w:ascii="仿宋" w:hAnsi="仿宋" w:eastAsia="仿宋" w:cs="仿宋_GB2312"/>
          <w:color w:val="auto"/>
          <w:kern w:val="0"/>
          <w:sz w:val="30"/>
          <w:szCs w:val="30"/>
          <w:highlight w:val="none"/>
        </w:rPr>
        <w:t>。约定延长期限内，利息和保管费用由买卖双方自行协商。</w:t>
      </w:r>
    </w:p>
    <w:p>
      <w:pPr>
        <w:shd w:val="clear" w:color="auto"/>
        <w:spacing w:line="360" w:lineRule="auto"/>
        <w:ind w:firstLine="600" w:firstLineChars="200"/>
        <w:rPr>
          <w:rFonts w:ascii="仿宋" w:hAnsi="仿宋" w:eastAsia="仿宋" w:cs="仿宋_GB2312"/>
          <w:color w:val="auto"/>
          <w:kern w:val="0"/>
          <w:sz w:val="30"/>
          <w:szCs w:val="30"/>
          <w:highlight w:val="none"/>
        </w:rPr>
      </w:pPr>
      <w:r>
        <w:rPr>
          <w:rFonts w:hint="eastAsia" w:ascii="仿宋" w:hAnsi="仿宋" w:eastAsia="仿宋"/>
          <w:color w:val="auto"/>
          <w:sz w:val="30"/>
          <w:szCs w:val="30"/>
          <w:highlight w:val="none"/>
          <w:lang w:val="zh-CN"/>
        </w:rPr>
        <w:t>买方</w:t>
      </w:r>
      <w:r>
        <w:rPr>
          <w:rFonts w:hint="eastAsia" w:ascii="仿宋" w:hAnsi="仿宋" w:eastAsia="仿宋"/>
          <w:color w:val="auto"/>
          <w:sz w:val="30"/>
          <w:szCs w:val="30"/>
          <w:highlight w:val="none"/>
        </w:rPr>
        <w:t>在规定的时间内将全额货款一次或分批汇入湖南市场的指定账户，</w:t>
      </w:r>
      <w:r>
        <w:rPr>
          <w:rFonts w:hint="eastAsia" w:ascii="仿宋" w:hAnsi="仿宋" w:eastAsia="仿宋" w:cs="黑体"/>
          <w:color w:val="auto"/>
          <w:kern w:val="0"/>
          <w:sz w:val="30"/>
          <w:szCs w:val="30"/>
          <w:highlight w:val="none"/>
        </w:rPr>
        <w:t>提交《出库通知单》申请。</w:t>
      </w:r>
      <w:r>
        <w:rPr>
          <w:rFonts w:hint="eastAsia" w:ascii="仿宋" w:hAnsi="仿宋" w:eastAsia="仿宋" w:cs="仿宋_GB2312"/>
          <w:color w:val="auto"/>
          <w:kern w:val="0"/>
          <w:sz w:val="30"/>
          <w:szCs w:val="30"/>
          <w:highlight w:val="none"/>
        </w:rPr>
        <w:t>湖南市场在确认货款到账后，对买方提交的《出库通知单》在</w:t>
      </w:r>
      <w:r>
        <w:rPr>
          <w:rFonts w:ascii="仿宋" w:hAnsi="仿宋" w:eastAsia="仿宋" w:cs="仿宋_GB2312"/>
          <w:color w:val="auto"/>
          <w:kern w:val="0"/>
          <w:sz w:val="30"/>
          <w:szCs w:val="30"/>
          <w:highlight w:val="none"/>
        </w:rPr>
        <w:t>1个工作日内完成审核</w:t>
      </w:r>
      <w:r>
        <w:rPr>
          <w:rFonts w:hint="eastAsia" w:ascii="仿宋" w:hAnsi="仿宋" w:eastAsia="仿宋" w:cs="仿宋_GB2312"/>
          <w:color w:val="auto"/>
          <w:kern w:val="0"/>
          <w:sz w:val="30"/>
          <w:szCs w:val="30"/>
          <w:highlight w:val="none"/>
        </w:rPr>
        <w:t>。</w:t>
      </w:r>
    </w:p>
    <w:p>
      <w:pPr>
        <w:shd w:val="clear" w:color="auto"/>
        <w:spacing w:line="360" w:lineRule="auto"/>
        <w:ind w:firstLine="600" w:firstLineChars="200"/>
        <w:rPr>
          <w:rFonts w:ascii="仿宋" w:hAnsi="仿宋" w:eastAsia="仿宋" w:cs="仿宋_GB2312"/>
          <w:color w:val="auto"/>
          <w:kern w:val="0"/>
          <w:sz w:val="30"/>
          <w:szCs w:val="30"/>
          <w:highlight w:val="none"/>
        </w:rPr>
      </w:pPr>
      <w:r>
        <w:rPr>
          <w:rFonts w:hint="eastAsia" w:ascii="仿宋" w:hAnsi="仿宋" w:eastAsia="仿宋" w:cs="仿宋_GB2312"/>
          <w:color w:val="auto"/>
          <w:kern w:val="0"/>
          <w:sz w:val="30"/>
          <w:szCs w:val="30"/>
          <w:highlight w:val="none"/>
        </w:rPr>
        <w:t>粮食货款须由买方直接支付，不得由其他企业或个人垫付、代付。</w:t>
      </w:r>
    </w:p>
    <w:p>
      <w:pPr>
        <w:shd w:val="clear"/>
        <w:spacing w:line="560" w:lineRule="exact"/>
        <w:ind w:firstLine="630" w:firstLineChars="21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买方应在合同规定的执行期内凭《</w:t>
      </w:r>
      <w:r>
        <w:rPr>
          <w:rFonts w:hint="eastAsia" w:ascii="仿宋" w:hAnsi="仿宋" w:eastAsia="仿宋"/>
          <w:color w:val="auto"/>
          <w:sz w:val="30"/>
          <w:szCs w:val="30"/>
          <w:highlight w:val="none"/>
          <w:lang w:val="zh-CN"/>
        </w:rPr>
        <w:t>出库通知单</w:t>
      </w:r>
      <w:r>
        <w:rPr>
          <w:rFonts w:hint="eastAsia" w:ascii="仿宋" w:hAnsi="仿宋" w:eastAsia="仿宋"/>
          <w:color w:val="auto"/>
          <w:sz w:val="30"/>
          <w:szCs w:val="30"/>
          <w:highlight w:val="none"/>
        </w:rPr>
        <w:t>》和有效身份证明到实际承储库点提货。卖方应按《出库通知单》数量发货。买方未在合同期限内提货的，卖方有权解除合同并要求买方承担违约责任。</w:t>
      </w:r>
    </w:p>
    <w:p>
      <w:pPr>
        <w:shd w:val="clear"/>
        <w:spacing w:line="560" w:lineRule="exact"/>
        <w:ind w:firstLine="630" w:firstLineChars="210"/>
        <w:rPr>
          <w:rFonts w:hint="eastAsia" w:ascii="仿宋" w:hAnsi="仿宋" w:eastAsia="仿宋" w:cs="仿宋_GB2312"/>
          <w:color w:val="auto"/>
          <w:kern w:val="0"/>
          <w:sz w:val="30"/>
          <w:szCs w:val="30"/>
          <w:highlight w:val="none"/>
        </w:rPr>
      </w:pPr>
      <w:r>
        <w:rPr>
          <w:rFonts w:ascii="仿宋" w:hAnsi="仿宋" w:eastAsia="仿宋" w:cs="仿宋_GB2312"/>
          <w:color w:val="auto"/>
          <w:kern w:val="0"/>
          <w:sz w:val="30"/>
          <w:szCs w:val="30"/>
          <w:highlight w:val="none"/>
        </w:rPr>
        <w:t>买卖双方对已出库粮食验收无误</w:t>
      </w:r>
      <w:r>
        <w:rPr>
          <w:rFonts w:hint="eastAsia" w:ascii="仿宋" w:hAnsi="仿宋" w:eastAsia="仿宋" w:cs="仿宋_GB2312"/>
          <w:color w:val="auto"/>
          <w:kern w:val="0"/>
          <w:sz w:val="30"/>
          <w:szCs w:val="30"/>
          <w:highlight w:val="none"/>
        </w:rPr>
        <w:t>的</w:t>
      </w:r>
      <w:r>
        <w:rPr>
          <w:rFonts w:ascii="仿宋" w:hAnsi="仿宋" w:eastAsia="仿宋" w:cs="仿宋_GB2312"/>
          <w:color w:val="auto"/>
          <w:kern w:val="0"/>
          <w:sz w:val="30"/>
          <w:szCs w:val="30"/>
          <w:highlight w:val="none"/>
        </w:rPr>
        <w:t>，</w:t>
      </w:r>
      <w:r>
        <w:rPr>
          <w:rFonts w:hint="eastAsia" w:ascii="仿宋" w:hAnsi="仿宋" w:eastAsia="仿宋" w:cs="仿宋_GB2312"/>
          <w:color w:val="auto"/>
          <w:kern w:val="0"/>
          <w:sz w:val="30"/>
          <w:szCs w:val="30"/>
          <w:highlight w:val="none"/>
        </w:rPr>
        <w:t>在规定时间内</w:t>
      </w:r>
      <w:r>
        <w:rPr>
          <w:rFonts w:ascii="仿宋" w:hAnsi="仿宋" w:eastAsia="仿宋" w:cs="仿宋_GB2312"/>
          <w:color w:val="auto"/>
          <w:kern w:val="0"/>
          <w:sz w:val="30"/>
          <w:szCs w:val="30"/>
          <w:highlight w:val="none"/>
        </w:rPr>
        <w:t>通过交易</w:t>
      </w:r>
      <w:r>
        <w:rPr>
          <w:rFonts w:hint="eastAsia" w:ascii="仿宋" w:hAnsi="仿宋" w:eastAsia="仿宋" w:cs="仿宋_GB2312"/>
          <w:color w:val="auto"/>
          <w:kern w:val="0"/>
          <w:sz w:val="30"/>
          <w:szCs w:val="30"/>
          <w:highlight w:val="none"/>
        </w:rPr>
        <w:t>平台提交《验收确认单》并盖章确认。</w:t>
      </w:r>
      <w:r>
        <w:rPr>
          <w:rFonts w:hint="eastAsia" w:ascii="仿宋" w:hAnsi="仿宋" w:eastAsia="仿宋"/>
          <w:color w:val="auto"/>
          <w:sz w:val="30"/>
          <w:szCs w:val="30"/>
          <w:highlight w:val="none"/>
        </w:rPr>
        <w:t>湖南市场在完成《验收确认单》审核之日起3个工作日内，</w:t>
      </w:r>
      <w:r>
        <w:rPr>
          <w:rFonts w:hint="eastAsia" w:ascii="仿宋" w:hAnsi="仿宋" w:eastAsia="仿宋" w:cs="仿宋_GB2312"/>
          <w:color w:val="auto"/>
          <w:kern w:val="0"/>
          <w:sz w:val="30"/>
          <w:szCs w:val="30"/>
          <w:highlight w:val="none"/>
        </w:rPr>
        <w:t>将已验收粮食的货款全部划入卖方在农发行的账户</w:t>
      </w:r>
      <w:r>
        <w:rPr>
          <w:rFonts w:hint="eastAsia" w:ascii="仿宋" w:hAnsi="仿宋" w:eastAsia="仿宋"/>
          <w:color w:val="auto"/>
          <w:sz w:val="30"/>
          <w:szCs w:val="30"/>
          <w:highlight w:val="none"/>
        </w:rPr>
        <w:t>，</w:t>
      </w:r>
      <w:r>
        <w:rPr>
          <w:rFonts w:ascii="仿宋" w:hAnsi="仿宋" w:eastAsia="仿宋" w:cs="仿宋_GB2312"/>
          <w:color w:val="auto"/>
          <w:kern w:val="0"/>
          <w:sz w:val="30"/>
          <w:szCs w:val="30"/>
          <w:highlight w:val="none"/>
        </w:rPr>
        <w:t>卖方严格按照现行税收政策规定及时向买方开具增值税发票</w:t>
      </w:r>
      <w:r>
        <w:rPr>
          <w:rFonts w:hint="eastAsia" w:ascii="仿宋" w:hAnsi="仿宋" w:eastAsia="仿宋" w:cs="仿宋_GB2312"/>
          <w:color w:val="auto"/>
          <w:kern w:val="0"/>
          <w:sz w:val="30"/>
          <w:szCs w:val="30"/>
          <w:highlight w:val="none"/>
        </w:rPr>
        <w:t xml:space="preserve">。 </w:t>
      </w:r>
    </w:p>
    <w:p>
      <w:pPr>
        <w:shd w:val="clear"/>
        <w:spacing w:line="560" w:lineRule="exact"/>
        <w:ind w:firstLine="630" w:firstLineChars="210"/>
        <w:rPr>
          <w:rFonts w:hint="eastAsia" w:ascii="仿宋" w:hAnsi="仿宋" w:eastAsia="仿宋" w:cs="仿宋_GB2312"/>
          <w:color w:val="auto"/>
          <w:kern w:val="0"/>
          <w:sz w:val="30"/>
          <w:szCs w:val="30"/>
          <w:highlight w:val="none"/>
        </w:rPr>
      </w:pPr>
      <w:r>
        <w:rPr>
          <w:rFonts w:hint="eastAsia" w:ascii="仿宋" w:hAnsi="仿宋" w:eastAsia="仿宋" w:cs="仿宋"/>
          <w:bCs/>
          <w:color w:val="auto"/>
          <w:sz w:val="30"/>
          <w:szCs w:val="30"/>
          <w:highlight w:val="none"/>
        </w:rPr>
        <w:t>在规定的出库期满之日起 10日内，湖南市场仍未收到买、卖双方盖章确认的《验收确认单》，但卖方已提交《验收确认单》而买方没有盖章且未收到买方书面异议的，经卖方向湖南市场提出验收申请后，视同买卖双方已验收确认，并划转相应货款。</w:t>
      </w:r>
    </w:p>
    <w:p>
      <w:pPr>
        <w:shd w:val="clear"/>
        <w:spacing w:line="560" w:lineRule="exact"/>
        <w:ind w:firstLine="602" w:firstLineChars="200"/>
        <w:rPr>
          <w:rFonts w:hint="eastAsia" w:ascii="仿宋" w:hAnsi="仿宋" w:eastAsia="仿宋"/>
          <w:color w:val="auto"/>
          <w:spacing w:val="6"/>
          <w:sz w:val="30"/>
          <w:szCs w:val="30"/>
          <w:highlight w:val="none"/>
          <w:lang w:val="zh-CN"/>
        </w:rPr>
      </w:pPr>
      <w:r>
        <w:rPr>
          <w:rFonts w:hint="eastAsia" w:ascii="仿宋" w:hAnsi="仿宋" w:eastAsia="仿宋"/>
          <w:b/>
          <w:color w:val="auto"/>
          <w:sz w:val="30"/>
          <w:szCs w:val="30"/>
          <w:highlight w:val="none"/>
        </w:rPr>
        <w:t>第二十七条</w:t>
      </w:r>
      <w:r>
        <w:rPr>
          <w:rFonts w:hint="eastAsia" w:ascii="仿宋" w:hAnsi="仿宋" w:eastAsia="仿宋"/>
          <w:color w:val="auto"/>
          <w:sz w:val="30"/>
          <w:szCs w:val="30"/>
          <w:highlight w:val="none"/>
        </w:rPr>
        <w:t xml:space="preserve">  具体发运方式由买卖双方协商。买方需要包装物时，包装物由买方自理或者委托卖方承储库代办，其价格由买卖双方协商议定，如无法协商，按散装交货。</w:t>
      </w:r>
    </w:p>
    <w:p>
      <w:pPr>
        <w:shd w:val="clear"/>
        <w:spacing w:line="560" w:lineRule="exact"/>
        <w:ind w:firstLine="602" w:firstLineChars="200"/>
        <w:rPr>
          <w:rFonts w:hint="eastAsia" w:ascii="仿宋" w:hAnsi="仿宋" w:eastAsia="仿宋"/>
          <w:color w:val="auto"/>
          <w:sz w:val="30"/>
          <w:szCs w:val="30"/>
          <w:highlight w:val="none"/>
          <w:lang w:val="zh-CN"/>
        </w:rPr>
      </w:pPr>
      <w:r>
        <w:rPr>
          <w:rFonts w:hint="eastAsia" w:ascii="仿宋" w:hAnsi="仿宋" w:eastAsia="仿宋"/>
          <w:b/>
          <w:color w:val="auto"/>
          <w:sz w:val="30"/>
          <w:szCs w:val="30"/>
          <w:highlight w:val="none"/>
        </w:rPr>
        <w:t>第二十八条</w:t>
      </w:r>
      <w:r>
        <w:rPr>
          <w:rFonts w:hint="eastAsia" w:ascii="仿宋" w:hAnsi="仿宋" w:eastAsia="仿宋"/>
          <w:color w:val="auto"/>
          <w:sz w:val="30"/>
          <w:szCs w:val="30"/>
          <w:highlight w:val="none"/>
        </w:rPr>
        <w:t xml:space="preserve">  买方提货时，</w:t>
      </w:r>
      <w:r>
        <w:rPr>
          <w:rFonts w:hint="eastAsia" w:ascii="仿宋" w:hAnsi="仿宋" w:eastAsia="仿宋"/>
          <w:color w:val="auto"/>
          <w:sz w:val="30"/>
          <w:szCs w:val="30"/>
          <w:highlight w:val="none"/>
          <w:lang w:val="zh-CN"/>
        </w:rPr>
        <w:t>粮食质量以公示的质量指标为依据，具体以实际出库检验结果为准。</w:t>
      </w:r>
      <w:r>
        <w:rPr>
          <w:rFonts w:hint="eastAsia" w:ascii="仿宋" w:hAnsi="仿宋" w:eastAsia="仿宋"/>
          <w:color w:val="auto"/>
          <w:sz w:val="30"/>
          <w:szCs w:val="30"/>
          <w:highlight w:val="none"/>
        </w:rPr>
        <w:t>数量以合同为依据，</w:t>
      </w:r>
      <w:r>
        <w:rPr>
          <w:rFonts w:hint="eastAsia" w:ascii="仿宋" w:hAnsi="仿宋" w:eastAsia="仿宋"/>
          <w:color w:val="auto"/>
          <w:sz w:val="30"/>
          <w:szCs w:val="30"/>
          <w:highlight w:val="none"/>
          <w:lang w:val="zh-CN"/>
        </w:rPr>
        <w:t>以承储库计量衡器为基准。承储库计量衡器必须是经具有国家认可资质的技术监督部门鉴定合格的，且在鉴定的有效期内。承储库应当允许买方对计量衡器的准确性进行确认。</w:t>
      </w:r>
    </w:p>
    <w:p>
      <w:pPr>
        <w:shd w:val="clear" w:color="auto"/>
        <w:spacing w:line="360" w:lineRule="auto"/>
        <w:ind w:firstLine="602" w:firstLineChars="200"/>
        <w:rPr>
          <w:rFonts w:ascii="仿宋" w:hAnsi="仿宋" w:eastAsia="仿宋" w:cs="仿宋_GB2312"/>
          <w:color w:val="auto"/>
          <w:kern w:val="0"/>
          <w:sz w:val="30"/>
          <w:szCs w:val="30"/>
          <w:highlight w:val="none"/>
        </w:rPr>
      </w:pPr>
      <w:r>
        <w:rPr>
          <w:rFonts w:hint="eastAsia" w:ascii="仿宋" w:hAnsi="仿宋" w:eastAsia="仿宋" w:cs="黑体"/>
          <w:b/>
          <w:color w:val="auto"/>
          <w:kern w:val="0"/>
          <w:sz w:val="30"/>
          <w:szCs w:val="30"/>
          <w:highlight w:val="none"/>
        </w:rPr>
        <w:t>第二十九条</w:t>
      </w:r>
      <w:r>
        <w:rPr>
          <w:rFonts w:ascii="仿宋" w:hAnsi="仿宋" w:eastAsia="仿宋" w:cs="黑体"/>
          <w:color w:val="auto"/>
          <w:kern w:val="0"/>
          <w:sz w:val="30"/>
          <w:szCs w:val="30"/>
          <w:highlight w:val="none"/>
        </w:rPr>
        <w:t xml:space="preserve"> </w:t>
      </w:r>
      <w:r>
        <w:rPr>
          <w:rFonts w:hint="eastAsia" w:ascii="仿宋" w:hAnsi="仿宋" w:eastAsia="仿宋" w:cs="仿宋_GB2312"/>
          <w:color w:val="auto"/>
          <w:kern w:val="0"/>
          <w:sz w:val="30"/>
          <w:szCs w:val="30"/>
          <w:highlight w:val="none"/>
        </w:rPr>
        <w:t>买卖双方对出库粮食数量、质量等有异议的，可参照国家和省有关规定或买卖双方协商处理。协商无法达成一致，出现商务纠纷的，应及时通知湖南市场，并在通知后的</w:t>
      </w:r>
      <w:r>
        <w:rPr>
          <w:rFonts w:ascii="仿宋" w:hAnsi="仿宋" w:eastAsia="仿宋" w:cs="仿宋_GB2312"/>
          <w:color w:val="auto"/>
          <w:kern w:val="0"/>
          <w:sz w:val="30"/>
          <w:szCs w:val="30"/>
          <w:highlight w:val="none"/>
        </w:rPr>
        <w:t>3个工作日内</w:t>
      </w:r>
      <w:r>
        <w:rPr>
          <w:rFonts w:hint="eastAsia" w:ascii="仿宋" w:hAnsi="仿宋" w:eastAsia="仿宋" w:cs="仿宋_GB2312"/>
          <w:color w:val="auto"/>
          <w:kern w:val="0"/>
          <w:sz w:val="30"/>
          <w:szCs w:val="30"/>
          <w:highlight w:val="none"/>
        </w:rPr>
        <w:t>提交</w:t>
      </w:r>
      <w:r>
        <w:rPr>
          <w:rFonts w:ascii="仿宋" w:hAnsi="仿宋" w:eastAsia="仿宋" w:cs="仿宋_GB2312"/>
          <w:color w:val="auto"/>
          <w:kern w:val="0"/>
          <w:sz w:val="30"/>
          <w:szCs w:val="30"/>
          <w:highlight w:val="none"/>
        </w:rPr>
        <w:t>书面</w:t>
      </w:r>
      <w:r>
        <w:rPr>
          <w:rFonts w:hint="eastAsia" w:ascii="仿宋" w:hAnsi="仿宋" w:eastAsia="仿宋" w:cs="仿宋_GB2312"/>
          <w:color w:val="auto"/>
          <w:kern w:val="0"/>
          <w:sz w:val="30"/>
          <w:szCs w:val="30"/>
          <w:highlight w:val="none"/>
        </w:rPr>
        <w:t>报告申请调解或</w:t>
      </w:r>
      <w:r>
        <w:rPr>
          <w:rFonts w:ascii="仿宋" w:hAnsi="仿宋" w:eastAsia="仿宋" w:cs="仿宋_GB2312"/>
          <w:color w:val="auto"/>
          <w:kern w:val="0"/>
          <w:sz w:val="30"/>
          <w:szCs w:val="30"/>
          <w:highlight w:val="none"/>
        </w:rPr>
        <w:t>自行通过</w:t>
      </w:r>
      <w:r>
        <w:rPr>
          <w:rFonts w:hint="eastAsia" w:ascii="仿宋" w:hAnsi="仿宋" w:eastAsia="仿宋" w:cs="仿宋_GB2312"/>
          <w:color w:val="auto"/>
          <w:kern w:val="0"/>
          <w:sz w:val="30"/>
          <w:szCs w:val="30"/>
          <w:highlight w:val="none"/>
        </w:rPr>
        <w:t>司</w:t>
      </w:r>
      <w:r>
        <w:rPr>
          <w:rFonts w:ascii="仿宋" w:hAnsi="仿宋" w:eastAsia="仿宋" w:cs="仿宋_GB2312"/>
          <w:color w:val="auto"/>
          <w:kern w:val="0"/>
          <w:sz w:val="30"/>
          <w:szCs w:val="30"/>
          <w:highlight w:val="none"/>
        </w:rPr>
        <w:t>法途径解决</w:t>
      </w:r>
      <w:r>
        <w:rPr>
          <w:rFonts w:hint="eastAsia" w:ascii="仿宋" w:hAnsi="仿宋" w:eastAsia="仿宋" w:cs="仿宋_GB2312"/>
          <w:color w:val="auto"/>
          <w:kern w:val="0"/>
          <w:sz w:val="30"/>
          <w:szCs w:val="30"/>
          <w:highlight w:val="none"/>
        </w:rPr>
        <w:t>。湖南市场</w:t>
      </w:r>
      <w:r>
        <w:rPr>
          <w:rFonts w:ascii="仿宋" w:hAnsi="仿宋" w:eastAsia="仿宋" w:cs="仿宋_GB2312"/>
          <w:color w:val="auto"/>
          <w:kern w:val="0"/>
          <w:sz w:val="30"/>
          <w:szCs w:val="30"/>
          <w:highlight w:val="none"/>
        </w:rPr>
        <w:t>按照</w:t>
      </w:r>
      <w:r>
        <w:rPr>
          <w:rFonts w:hint="eastAsia" w:ascii="仿宋" w:hAnsi="仿宋" w:eastAsia="仿宋" w:cs="仿宋_GB2312"/>
          <w:color w:val="auto"/>
          <w:kern w:val="0"/>
          <w:sz w:val="30"/>
          <w:szCs w:val="30"/>
          <w:highlight w:val="none"/>
        </w:rPr>
        <w:t>法律法规、相关政策和本规则规定进行协调处理</w:t>
      </w:r>
      <w:r>
        <w:rPr>
          <w:rFonts w:ascii="仿宋" w:hAnsi="仿宋" w:eastAsia="仿宋" w:cs="仿宋_GB2312"/>
          <w:color w:val="auto"/>
          <w:kern w:val="0"/>
          <w:sz w:val="30"/>
          <w:szCs w:val="30"/>
          <w:highlight w:val="none"/>
        </w:rPr>
        <w:t>。</w:t>
      </w:r>
    </w:p>
    <w:p>
      <w:pPr>
        <w:shd w:val="clear" w:color="auto"/>
        <w:spacing w:line="360" w:lineRule="auto"/>
        <w:ind w:firstLine="600" w:firstLineChars="200"/>
        <w:rPr>
          <w:rFonts w:ascii="仿宋" w:hAnsi="仿宋" w:eastAsia="仿宋" w:cs="仿宋_GB2312"/>
          <w:color w:val="auto"/>
          <w:kern w:val="0"/>
          <w:sz w:val="30"/>
          <w:szCs w:val="30"/>
          <w:highlight w:val="none"/>
        </w:rPr>
      </w:pPr>
      <w:r>
        <w:rPr>
          <w:rFonts w:hint="eastAsia" w:ascii="仿宋" w:hAnsi="仿宋" w:eastAsia="仿宋" w:cs="仿宋_GB2312"/>
          <w:color w:val="auto"/>
          <w:kern w:val="0"/>
          <w:sz w:val="30"/>
          <w:szCs w:val="30"/>
          <w:highlight w:val="none"/>
        </w:rPr>
        <w:t>对数量有异议的，委托实际储存库点所在地有资质的计量检定机构对计量衡器重新检定，根据检定情况重新核定出库数量。</w:t>
      </w:r>
    </w:p>
    <w:p>
      <w:pPr>
        <w:shd w:val="clear" w:color="auto"/>
        <w:spacing w:line="360" w:lineRule="auto"/>
        <w:ind w:firstLine="600" w:firstLineChars="200"/>
        <w:rPr>
          <w:rFonts w:hint="eastAsia" w:ascii="仿宋" w:hAnsi="仿宋" w:eastAsia="仿宋" w:cs="仿宋_GB2312"/>
          <w:color w:val="auto"/>
          <w:kern w:val="0"/>
          <w:sz w:val="30"/>
          <w:szCs w:val="30"/>
          <w:highlight w:val="none"/>
        </w:rPr>
      </w:pPr>
      <w:r>
        <w:rPr>
          <w:rFonts w:hint="eastAsia" w:ascii="仿宋" w:hAnsi="仿宋" w:eastAsia="仿宋" w:cs="仿宋_GB2312"/>
          <w:color w:val="auto"/>
          <w:kern w:val="0"/>
          <w:sz w:val="30"/>
          <w:szCs w:val="30"/>
          <w:highlight w:val="none"/>
        </w:rPr>
        <w:t>对质量有异议的，参照国家和省关于粮食质量安全检验争议处理原则进行处理，所发生的费用、损失由过错方承担。</w:t>
      </w:r>
    </w:p>
    <w:p>
      <w:pPr>
        <w:shd w:val="clear" w:color="auto"/>
        <w:spacing w:line="360" w:lineRule="auto"/>
        <w:ind w:firstLine="602" w:firstLineChars="200"/>
        <w:rPr>
          <w:rFonts w:ascii="仿宋" w:hAnsi="仿宋" w:eastAsia="仿宋" w:cs="仿宋_GB2312"/>
          <w:color w:val="auto"/>
          <w:kern w:val="0"/>
          <w:sz w:val="30"/>
          <w:szCs w:val="30"/>
          <w:highlight w:val="none"/>
        </w:rPr>
      </w:pPr>
      <w:r>
        <w:rPr>
          <w:rFonts w:hint="eastAsia" w:ascii="仿宋" w:hAnsi="仿宋" w:eastAsia="仿宋" w:cs="黑体"/>
          <w:b/>
          <w:color w:val="auto"/>
          <w:kern w:val="0"/>
          <w:sz w:val="30"/>
          <w:szCs w:val="30"/>
          <w:highlight w:val="none"/>
        </w:rPr>
        <w:t>第三十条</w:t>
      </w:r>
      <w:r>
        <w:rPr>
          <w:rFonts w:hint="eastAsia" w:ascii="仿宋" w:hAnsi="仿宋" w:eastAsia="仿宋" w:cs="黑体"/>
          <w:color w:val="auto"/>
          <w:kern w:val="0"/>
          <w:sz w:val="30"/>
          <w:szCs w:val="30"/>
          <w:highlight w:val="none"/>
        </w:rPr>
        <w:t xml:space="preserve">  </w:t>
      </w:r>
      <w:r>
        <w:rPr>
          <w:rFonts w:hint="eastAsia" w:ascii="仿宋" w:hAnsi="仿宋" w:eastAsia="仿宋" w:cs="仿宋_GB2312"/>
          <w:color w:val="auto"/>
          <w:kern w:val="0"/>
          <w:sz w:val="30"/>
          <w:szCs w:val="30"/>
          <w:highlight w:val="none"/>
        </w:rPr>
        <w:t>因不可抗力等原因，导致粮食无法正常出库的，经买卖双方共同提出申请，湖南市场核实后，可以终止合同，并退还未履约部分对应的保证金。</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第三十一条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zh-CN"/>
        </w:rPr>
        <w:t>湖南市场向买方收取成交额的0.8‰为交易手续费，</w:t>
      </w:r>
      <w:r>
        <w:rPr>
          <w:rFonts w:ascii="仿宋" w:hAnsi="仿宋" w:eastAsia="仿宋"/>
          <w:color w:val="auto"/>
          <w:sz w:val="30"/>
          <w:szCs w:val="30"/>
          <w:highlight w:val="none"/>
          <w:lang w:val="zh-CN"/>
        </w:rPr>
        <w:t>买方交易手续费从预交的交易保证金中扣除。</w:t>
      </w:r>
      <w:r>
        <w:rPr>
          <w:rFonts w:hint="eastAsia" w:ascii="仿宋" w:hAnsi="仿宋" w:eastAsia="仿宋"/>
          <w:color w:val="auto"/>
          <w:sz w:val="30"/>
          <w:szCs w:val="30"/>
          <w:highlight w:val="none"/>
          <w:lang w:val="zh-CN"/>
        </w:rPr>
        <w:t>有关部门或单位另有规定的，从其规定。</w:t>
      </w:r>
    </w:p>
    <w:p>
      <w:pPr>
        <w:shd w:val="clear"/>
        <w:spacing w:line="800" w:lineRule="exact"/>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第七章 违规、违约处理</w:t>
      </w:r>
    </w:p>
    <w:p>
      <w:pPr>
        <w:shd w:val="clear"/>
        <w:spacing w:line="560" w:lineRule="exact"/>
        <w:ind w:firstLine="602" w:firstLineChars="200"/>
        <w:rPr>
          <w:rFonts w:hint="eastAsia" w:ascii="仿宋" w:hAnsi="仿宋" w:eastAsia="仿宋"/>
          <w:color w:val="auto"/>
          <w:sz w:val="30"/>
          <w:szCs w:val="30"/>
          <w:highlight w:val="none"/>
          <w:lang w:val="zh-CN"/>
        </w:rPr>
      </w:pPr>
      <w:r>
        <w:rPr>
          <w:rFonts w:hint="eastAsia" w:ascii="仿宋" w:hAnsi="仿宋" w:eastAsia="仿宋"/>
          <w:b/>
          <w:color w:val="auto"/>
          <w:sz w:val="30"/>
          <w:szCs w:val="30"/>
          <w:highlight w:val="none"/>
        </w:rPr>
        <w:t>第三十二条</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zh-CN"/>
        </w:rPr>
        <w:t>交易成交后，买方不能在规定的期限内将全额货款汇至</w:t>
      </w:r>
      <w:r>
        <w:rPr>
          <w:rFonts w:hint="eastAsia" w:ascii="仿宋" w:hAnsi="仿宋" w:eastAsia="仿宋"/>
          <w:color w:val="auto"/>
          <w:sz w:val="30"/>
          <w:szCs w:val="30"/>
          <w:highlight w:val="none"/>
        </w:rPr>
        <w:t>湖南市场</w:t>
      </w:r>
      <w:r>
        <w:rPr>
          <w:rFonts w:hint="eastAsia" w:ascii="仿宋" w:hAnsi="仿宋" w:eastAsia="仿宋"/>
          <w:color w:val="auto"/>
          <w:sz w:val="30"/>
          <w:szCs w:val="30"/>
          <w:highlight w:val="none"/>
          <w:lang w:val="zh-CN"/>
        </w:rPr>
        <w:t>指定账户的，对未交纳合同货款的部分视为买方违约数量，合同终止。由湖南市场按本规则第五条所列</w:t>
      </w:r>
      <w:r>
        <w:rPr>
          <w:rFonts w:ascii="仿宋" w:hAnsi="仿宋" w:eastAsia="仿宋"/>
          <w:color w:val="auto"/>
          <w:sz w:val="30"/>
          <w:szCs w:val="30"/>
          <w:highlight w:val="none"/>
        </w:rPr>
        <w:t>履约保证金和交易保证金标准乘以实际违约数量计算违约金，从买方缴纳的保证金中分别扣缴并支付给卖方</w:t>
      </w:r>
      <w:r>
        <w:rPr>
          <w:rFonts w:hint="eastAsia" w:ascii="仿宋" w:hAnsi="仿宋" w:eastAsia="仿宋"/>
          <w:color w:val="auto"/>
          <w:sz w:val="30"/>
          <w:szCs w:val="30"/>
          <w:highlight w:val="none"/>
        </w:rPr>
        <w:t>和湖南市场。</w:t>
      </w:r>
    </w:p>
    <w:p>
      <w:pPr>
        <w:shd w:val="clear"/>
        <w:spacing w:line="560" w:lineRule="exact"/>
        <w:ind w:firstLine="602" w:firstLineChars="200"/>
        <w:rPr>
          <w:rFonts w:hint="eastAsia" w:ascii="仿宋" w:hAnsi="仿宋" w:eastAsia="仿宋"/>
          <w:color w:val="auto"/>
          <w:spacing w:val="6"/>
          <w:sz w:val="30"/>
          <w:szCs w:val="30"/>
          <w:highlight w:val="none"/>
          <w:lang w:val="zh-CN"/>
        </w:rPr>
      </w:pPr>
      <w:r>
        <w:rPr>
          <w:rFonts w:hint="eastAsia" w:ascii="仿宋" w:hAnsi="仿宋" w:eastAsia="仿宋"/>
          <w:b/>
          <w:color w:val="auto"/>
          <w:sz w:val="30"/>
          <w:szCs w:val="30"/>
          <w:highlight w:val="none"/>
        </w:rPr>
        <w:t xml:space="preserve">第三十三条 </w:t>
      </w:r>
      <w:r>
        <w:rPr>
          <w:rFonts w:hint="eastAsia" w:ascii="仿宋" w:hAnsi="仿宋" w:eastAsia="仿宋"/>
          <w:color w:val="auto"/>
          <w:sz w:val="30"/>
          <w:szCs w:val="30"/>
          <w:highlight w:val="none"/>
        </w:rPr>
        <w:t xml:space="preserve"> </w:t>
      </w:r>
      <w:r>
        <w:rPr>
          <w:rFonts w:hint="eastAsia" w:ascii="仿宋" w:hAnsi="仿宋" w:eastAsia="仿宋"/>
          <w:color w:val="auto"/>
          <w:spacing w:val="6"/>
          <w:sz w:val="30"/>
          <w:szCs w:val="30"/>
          <w:highlight w:val="none"/>
          <w:lang w:val="zh-CN"/>
        </w:rPr>
        <w:t>卖方承储库设置障碍或未按合同规定的时间、质量、品种、数量交货及违反其他相关规定，视为卖方违约，合同终止。</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rPr>
        <w:t>第三十四条</w:t>
      </w:r>
      <w:r>
        <w:rPr>
          <w:rFonts w:hint="eastAsia" w:ascii="仿宋" w:hAnsi="仿宋" w:eastAsia="仿宋"/>
          <w:color w:val="auto"/>
          <w:sz w:val="30"/>
          <w:szCs w:val="30"/>
          <w:highlight w:val="none"/>
        </w:rPr>
        <w:t xml:space="preserve">  买卖双方除上述情况外，一方不能履行或者不能完全履行合同时，另一方应及时以书面形式报湖南市场备案，并积极与对方协商解决；协商不一致的，双方可协商向仲裁机构申请裁定，也可单方直接向人民法院起诉。</w:t>
      </w:r>
    </w:p>
    <w:p>
      <w:pPr>
        <w:shd w:val="clear"/>
        <w:spacing w:line="8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第八章  附 则</w:t>
      </w:r>
    </w:p>
    <w:p>
      <w:pPr>
        <w:shd w:val="clear" w:color="auto"/>
        <w:spacing w:line="360" w:lineRule="auto"/>
        <w:ind w:firstLine="602" w:firstLineChars="200"/>
        <w:rPr>
          <w:rFonts w:ascii="仿宋" w:hAnsi="仿宋" w:eastAsia="仿宋" w:cs="仿宋_GB2312"/>
          <w:color w:val="auto"/>
          <w:kern w:val="0"/>
          <w:sz w:val="30"/>
          <w:szCs w:val="30"/>
          <w:highlight w:val="none"/>
        </w:rPr>
      </w:pPr>
      <w:r>
        <w:rPr>
          <w:rFonts w:hint="eastAsia" w:ascii="仿宋" w:hAnsi="仿宋" w:eastAsia="仿宋"/>
          <w:b/>
          <w:color w:val="auto"/>
          <w:sz w:val="30"/>
          <w:szCs w:val="30"/>
          <w:highlight w:val="none"/>
        </w:rPr>
        <w:t>第三十五条</w:t>
      </w:r>
      <w:r>
        <w:rPr>
          <w:rFonts w:hint="eastAsia" w:ascii="仿宋" w:hAnsi="仿宋" w:eastAsia="仿宋"/>
          <w:color w:val="auto"/>
          <w:sz w:val="30"/>
          <w:szCs w:val="30"/>
          <w:highlight w:val="none"/>
        </w:rPr>
        <w:t xml:space="preserve">  </w:t>
      </w:r>
      <w:r>
        <w:rPr>
          <w:rFonts w:ascii="仿宋" w:hAnsi="仿宋" w:eastAsia="仿宋" w:cs="仿宋_GB2312"/>
          <w:color w:val="auto"/>
          <w:kern w:val="0"/>
          <w:sz w:val="30"/>
          <w:szCs w:val="30"/>
          <w:highlight w:val="none"/>
        </w:rPr>
        <w:t>《交易公告》和</w:t>
      </w:r>
      <w:r>
        <w:rPr>
          <w:rFonts w:hint="eastAsia" w:ascii="仿宋" w:hAnsi="仿宋" w:eastAsia="仿宋" w:cs="仿宋_GB2312"/>
          <w:color w:val="auto"/>
          <w:kern w:val="0"/>
          <w:sz w:val="30"/>
          <w:szCs w:val="30"/>
          <w:highlight w:val="none"/>
        </w:rPr>
        <w:t>《交易清单》是竞价交易文件资料的重要组成部分，本规则未尽事项可在《交易公告》和《交易清单》中公示。</w:t>
      </w:r>
    </w:p>
    <w:p>
      <w:pPr>
        <w:shd w:val="clear"/>
        <w:spacing w:line="560" w:lineRule="exact"/>
        <w:ind w:firstLine="602" w:firstLineChars="200"/>
        <w:rPr>
          <w:rFonts w:hint="eastAsia" w:ascii="仿宋" w:hAnsi="仿宋" w:eastAsia="仿宋"/>
          <w:color w:val="auto"/>
          <w:sz w:val="30"/>
          <w:szCs w:val="30"/>
          <w:highlight w:val="none"/>
        </w:rPr>
      </w:pPr>
      <w:r>
        <w:rPr>
          <w:rFonts w:hint="eastAsia" w:ascii="仿宋" w:hAnsi="仿宋" w:eastAsia="仿宋"/>
          <w:b/>
          <w:color w:val="auto"/>
          <w:sz w:val="30"/>
          <w:szCs w:val="30"/>
          <w:highlight w:val="none"/>
          <w:lang w:val="zh-CN"/>
        </w:rPr>
        <w:t>第三十六条</w:t>
      </w:r>
      <w:r>
        <w:rPr>
          <w:rFonts w:hint="eastAsia" w:ascii="仿宋" w:hAnsi="仿宋" w:eastAsia="仿宋"/>
          <w:color w:val="auto"/>
          <w:sz w:val="30"/>
          <w:szCs w:val="30"/>
          <w:highlight w:val="none"/>
          <w:lang w:val="zh-CN"/>
        </w:rPr>
        <w:t xml:space="preserve">  湖南市场负责监督合同的执行，协调处理商务等问题。如遇未尽事宜，由湖南市场与有关部门协商处理。</w:t>
      </w:r>
    </w:p>
    <w:p>
      <w:pPr>
        <w:shd w:val="clear"/>
        <w:spacing w:line="560" w:lineRule="exact"/>
        <w:ind w:firstLine="602" w:firstLineChars="200"/>
        <w:rPr>
          <w:rFonts w:hint="eastAsia" w:ascii="仿宋" w:hAnsi="仿宋" w:eastAsia="仿宋"/>
          <w:color w:val="auto"/>
          <w:sz w:val="30"/>
          <w:szCs w:val="30"/>
          <w:highlight w:val="none"/>
          <w:lang w:val="zh-CN"/>
        </w:rPr>
      </w:pPr>
      <w:r>
        <w:rPr>
          <w:rFonts w:hint="eastAsia" w:ascii="仿宋" w:hAnsi="仿宋" w:eastAsia="仿宋"/>
          <w:b/>
          <w:color w:val="auto"/>
          <w:sz w:val="30"/>
          <w:szCs w:val="30"/>
          <w:highlight w:val="none"/>
        </w:rPr>
        <w:t>第三十七条</w:t>
      </w:r>
      <w:r>
        <w:rPr>
          <w:rFonts w:hint="eastAsia" w:ascii="仿宋" w:hAnsi="仿宋" w:eastAsia="仿宋"/>
          <w:color w:val="auto"/>
          <w:sz w:val="30"/>
          <w:szCs w:val="30"/>
          <w:highlight w:val="none"/>
        </w:rPr>
        <w:t xml:space="preserve">  本规则自发布之日起执行，</w:t>
      </w:r>
      <w:r>
        <w:rPr>
          <w:rFonts w:hint="eastAsia" w:ascii="仿宋" w:hAnsi="仿宋" w:eastAsia="仿宋"/>
          <w:color w:val="auto"/>
          <w:sz w:val="30"/>
          <w:szCs w:val="30"/>
          <w:highlight w:val="none"/>
          <w:lang w:val="zh-CN"/>
        </w:rPr>
        <w:t>由湖南市场负责解释。国家和省有关部门对涉及本规则内容另有规定的，从其规定。</w:t>
      </w:r>
    </w:p>
    <w:p>
      <w:pPr>
        <w:shd w:val="clear"/>
        <w:spacing w:line="560" w:lineRule="exact"/>
        <w:ind w:firstLine="600" w:firstLineChars="200"/>
        <w:rPr>
          <w:rFonts w:hint="eastAsia" w:ascii="仿宋" w:hAnsi="仿宋" w:eastAsia="仿宋"/>
          <w:color w:val="auto"/>
          <w:sz w:val="30"/>
          <w:szCs w:val="30"/>
          <w:highlight w:val="none"/>
          <w:lang w:val="zh-CN"/>
        </w:rPr>
      </w:pPr>
    </w:p>
    <w:p>
      <w:pPr>
        <w:shd w:val="clear"/>
        <w:spacing w:line="560" w:lineRule="exact"/>
        <w:ind w:firstLine="600" w:firstLineChars="200"/>
        <w:rPr>
          <w:rFonts w:hint="eastAsia" w:ascii="仿宋" w:hAnsi="仿宋" w:eastAsia="仿宋"/>
          <w:color w:val="auto"/>
          <w:sz w:val="30"/>
          <w:szCs w:val="30"/>
          <w:highlight w:val="none"/>
          <w:lang w:val="zh-CN"/>
        </w:rPr>
      </w:pPr>
    </w:p>
    <w:sectPr>
      <w:footerReference r:id="rId3" w:type="default"/>
      <w:footerReference r:id="rId4" w:type="even"/>
      <w:pgSz w:w="11906" w:h="16838"/>
      <w:pgMar w:top="1446" w:right="1588" w:bottom="1446" w:left="1588" w:header="170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DljOWM4M2RjOWViMWNmMzdlNjYwMjhmNTNjYzcifQ=="/>
  </w:docVars>
  <w:rsids>
    <w:rsidRoot w:val="00F07820"/>
    <w:rsid w:val="00011C40"/>
    <w:rsid w:val="00014906"/>
    <w:rsid w:val="000221E5"/>
    <w:rsid w:val="00023AB1"/>
    <w:rsid w:val="00036ADC"/>
    <w:rsid w:val="00046D8E"/>
    <w:rsid w:val="0005242C"/>
    <w:rsid w:val="0005556D"/>
    <w:rsid w:val="00055C09"/>
    <w:rsid w:val="00057B4A"/>
    <w:rsid w:val="000628D3"/>
    <w:rsid w:val="00066003"/>
    <w:rsid w:val="00066755"/>
    <w:rsid w:val="00073D3E"/>
    <w:rsid w:val="000750B6"/>
    <w:rsid w:val="00076F09"/>
    <w:rsid w:val="0008793E"/>
    <w:rsid w:val="0009116D"/>
    <w:rsid w:val="00093F86"/>
    <w:rsid w:val="00096050"/>
    <w:rsid w:val="000A0919"/>
    <w:rsid w:val="000A23B6"/>
    <w:rsid w:val="000A4AEA"/>
    <w:rsid w:val="000A60D7"/>
    <w:rsid w:val="000B4993"/>
    <w:rsid w:val="000C150F"/>
    <w:rsid w:val="000C6CAD"/>
    <w:rsid w:val="000C79BA"/>
    <w:rsid w:val="000E2878"/>
    <w:rsid w:val="000E33DF"/>
    <w:rsid w:val="000F02EC"/>
    <w:rsid w:val="000F5C56"/>
    <w:rsid w:val="000F65CD"/>
    <w:rsid w:val="00105D08"/>
    <w:rsid w:val="00106FBE"/>
    <w:rsid w:val="001132B5"/>
    <w:rsid w:val="00120ED2"/>
    <w:rsid w:val="00123398"/>
    <w:rsid w:val="00131814"/>
    <w:rsid w:val="00140B78"/>
    <w:rsid w:val="00140D84"/>
    <w:rsid w:val="00143D0B"/>
    <w:rsid w:val="0014470A"/>
    <w:rsid w:val="0015063E"/>
    <w:rsid w:val="00162F3B"/>
    <w:rsid w:val="00163F2E"/>
    <w:rsid w:val="0016415C"/>
    <w:rsid w:val="00164DAE"/>
    <w:rsid w:val="001750D8"/>
    <w:rsid w:val="00180605"/>
    <w:rsid w:val="001941CA"/>
    <w:rsid w:val="00194401"/>
    <w:rsid w:val="00194B2B"/>
    <w:rsid w:val="001A5E27"/>
    <w:rsid w:val="001A7972"/>
    <w:rsid w:val="001B3B85"/>
    <w:rsid w:val="001B6C96"/>
    <w:rsid w:val="001B7A5C"/>
    <w:rsid w:val="001D5DF9"/>
    <w:rsid w:val="001E59C5"/>
    <w:rsid w:val="001F4F8D"/>
    <w:rsid w:val="001F51A0"/>
    <w:rsid w:val="001F5982"/>
    <w:rsid w:val="00200FC2"/>
    <w:rsid w:val="00205FB8"/>
    <w:rsid w:val="00210EF1"/>
    <w:rsid w:val="00212A7A"/>
    <w:rsid w:val="00215801"/>
    <w:rsid w:val="0021585B"/>
    <w:rsid w:val="0021678B"/>
    <w:rsid w:val="00216DA0"/>
    <w:rsid w:val="002171B2"/>
    <w:rsid w:val="00223EDB"/>
    <w:rsid w:val="00236915"/>
    <w:rsid w:val="00243B8B"/>
    <w:rsid w:val="00245D8A"/>
    <w:rsid w:val="002470A1"/>
    <w:rsid w:val="00251301"/>
    <w:rsid w:val="00254458"/>
    <w:rsid w:val="0025475D"/>
    <w:rsid w:val="002576E6"/>
    <w:rsid w:val="00263C3B"/>
    <w:rsid w:val="00265F68"/>
    <w:rsid w:val="00266D45"/>
    <w:rsid w:val="002707DB"/>
    <w:rsid w:val="00283D46"/>
    <w:rsid w:val="00284A16"/>
    <w:rsid w:val="002B1AFE"/>
    <w:rsid w:val="002B4C51"/>
    <w:rsid w:val="002B4D5D"/>
    <w:rsid w:val="002C2158"/>
    <w:rsid w:val="002C3554"/>
    <w:rsid w:val="002C42F3"/>
    <w:rsid w:val="002C60FC"/>
    <w:rsid w:val="002C6723"/>
    <w:rsid w:val="002C7179"/>
    <w:rsid w:val="002D0FEF"/>
    <w:rsid w:val="002E3A3A"/>
    <w:rsid w:val="002F1DBD"/>
    <w:rsid w:val="002F2116"/>
    <w:rsid w:val="002F2B1E"/>
    <w:rsid w:val="00302A92"/>
    <w:rsid w:val="0030368A"/>
    <w:rsid w:val="00305FA2"/>
    <w:rsid w:val="0031533C"/>
    <w:rsid w:val="0032504D"/>
    <w:rsid w:val="00336CC0"/>
    <w:rsid w:val="00337BDC"/>
    <w:rsid w:val="00337C81"/>
    <w:rsid w:val="0037006C"/>
    <w:rsid w:val="00391465"/>
    <w:rsid w:val="0039568F"/>
    <w:rsid w:val="00396089"/>
    <w:rsid w:val="003A19B0"/>
    <w:rsid w:val="003C1F45"/>
    <w:rsid w:val="003C2D60"/>
    <w:rsid w:val="003C658A"/>
    <w:rsid w:val="003D16DD"/>
    <w:rsid w:val="003D2B8E"/>
    <w:rsid w:val="003D73C6"/>
    <w:rsid w:val="003D76C7"/>
    <w:rsid w:val="003E1123"/>
    <w:rsid w:val="003E3DF5"/>
    <w:rsid w:val="003E6338"/>
    <w:rsid w:val="003E7AFE"/>
    <w:rsid w:val="004114DE"/>
    <w:rsid w:val="00414EDD"/>
    <w:rsid w:val="00415D05"/>
    <w:rsid w:val="00423E66"/>
    <w:rsid w:val="00426CD2"/>
    <w:rsid w:val="004301D0"/>
    <w:rsid w:val="00444B92"/>
    <w:rsid w:val="00454217"/>
    <w:rsid w:val="0045434C"/>
    <w:rsid w:val="0045560F"/>
    <w:rsid w:val="00455B96"/>
    <w:rsid w:val="004575D8"/>
    <w:rsid w:val="00457E97"/>
    <w:rsid w:val="0046459F"/>
    <w:rsid w:val="0046608E"/>
    <w:rsid w:val="00472451"/>
    <w:rsid w:val="0047367D"/>
    <w:rsid w:val="00480798"/>
    <w:rsid w:val="00483B35"/>
    <w:rsid w:val="00486C2F"/>
    <w:rsid w:val="00487646"/>
    <w:rsid w:val="0049187B"/>
    <w:rsid w:val="00493DFB"/>
    <w:rsid w:val="004A6436"/>
    <w:rsid w:val="004B05B4"/>
    <w:rsid w:val="004B2591"/>
    <w:rsid w:val="004C07F0"/>
    <w:rsid w:val="004C1810"/>
    <w:rsid w:val="004C4855"/>
    <w:rsid w:val="004C7646"/>
    <w:rsid w:val="004D7EBA"/>
    <w:rsid w:val="004E00E6"/>
    <w:rsid w:val="004F28D9"/>
    <w:rsid w:val="00504FDC"/>
    <w:rsid w:val="00523B09"/>
    <w:rsid w:val="00523DF2"/>
    <w:rsid w:val="00524F78"/>
    <w:rsid w:val="00532996"/>
    <w:rsid w:val="00534FD8"/>
    <w:rsid w:val="0054382B"/>
    <w:rsid w:val="00565997"/>
    <w:rsid w:val="005662CB"/>
    <w:rsid w:val="00571601"/>
    <w:rsid w:val="00581089"/>
    <w:rsid w:val="005A6CB2"/>
    <w:rsid w:val="005A78B5"/>
    <w:rsid w:val="005B37B3"/>
    <w:rsid w:val="005B4ED8"/>
    <w:rsid w:val="005C1A3F"/>
    <w:rsid w:val="005C299E"/>
    <w:rsid w:val="005C3BAB"/>
    <w:rsid w:val="005C4AC9"/>
    <w:rsid w:val="005C54B5"/>
    <w:rsid w:val="005C5880"/>
    <w:rsid w:val="005C5CC2"/>
    <w:rsid w:val="005C6DC7"/>
    <w:rsid w:val="005D0DCD"/>
    <w:rsid w:val="005D3164"/>
    <w:rsid w:val="005D73C5"/>
    <w:rsid w:val="005E25F2"/>
    <w:rsid w:val="005E3EF7"/>
    <w:rsid w:val="005E554F"/>
    <w:rsid w:val="00610893"/>
    <w:rsid w:val="006232CC"/>
    <w:rsid w:val="006264AC"/>
    <w:rsid w:val="00641D5F"/>
    <w:rsid w:val="00642801"/>
    <w:rsid w:val="00645D89"/>
    <w:rsid w:val="00646506"/>
    <w:rsid w:val="00647501"/>
    <w:rsid w:val="00651713"/>
    <w:rsid w:val="00664231"/>
    <w:rsid w:val="00664281"/>
    <w:rsid w:val="00666A59"/>
    <w:rsid w:val="00671B43"/>
    <w:rsid w:val="00690CBC"/>
    <w:rsid w:val="00693193"/>
    <w:rsid w:val="0069694D"/>
    <w:rsid w:val="006A281E"/>
    <w:rsid w:val="006A5B00"/>
    <w:rsid w:val="006A6EE9"/>
    <w:rsid w:val="006B00DF"/>
    <w:rsid w:val="006B1D2B"/>
    <w:rsid w:val="006B6C50"/>
    <w:rsid w:val="006B75EC"/>
    <w:rsid w:val="006C37E5"/>
    <w:rsid w:val="006D14CE"/>
    <w:rsid w:val="006D507F"/>
    <w:rsid w:val="006E1135"/>
    <w:rsid w:val="006E597B"/>
    <w:rsid w:val="006E730D"/>
    <w:rsid w:val="006E733E"/>
    <w:rsid w:val="006F6132"/>
    <w:rsid w:val="006F658B"/>
    <w:rsid w:val="00706B20"/>
    <w:rsid w:val="00707AB9"/>
    <w:rsid w:val="00722877"/>
    <w:rsid w:val="00723283"/>
    <w:rsid w:val="00733848"/>
    <w:rsid w:val="00742001"/>
    <w:rsid w:val="00743000"/>
    <w:rsid w:val="00747C6E"/>
    <w:rsid w:val="00747D04"/>
    <w:rsid w:val="00756014"/>
    <w:rsid w:val="0077671B"/>
    <w:rsid w:val="007807AF"/>
    <w:rsid w:val="007834CF"/>
    <w:rsid w:val="00786336"/>
    <w:rsid w:val="0079103D"/>
    <w:rsid w:val="007933E0"/>
    <w:rsid w:val="00793422"/>
    <w:rsid w:val="007C0D07"/>
    <w:rsid w:val="007D0CB5"/>
    <w:rsid w:val="007D45BA"/>
    <w:rsid w:val="007D4CE0"/>
    <w:rsid w:val="007D7A0D"/>
    <w:rsid w:val="007E5B60"/>
    <w:rsid w:val="007E6B83"/>
    <w:rsid w:val="007F141D"/>
    <w:rsid w:val="007F32FA"/>
    <w:rsid w:val="007F61E7"/>
    <w:rsid w:val="00804F50"/>
    <w:rsid w:val="00811BB9"/>
    <w:rsid w:val="00811D8E"/>
    <w:rsid w:val="00814DEF"/>
    <w:rsid w:val="00816CD5"/>
    <w:rsid w:val="0083171D"/>
    <w:rsid w:val="00846C18"/>
    <w:rsid w:val="00862A61"/>
    <w:rsid w:val="00866FF1"/>
    <w:rsid w:val="008671AB"/>
    <w:rsid w:val="00872CB1"/>
    <w:rsid w:val="00873B9E"/>
    <w:rsid w:val="00880214"/>
    <w:rsid w:val="00881552"/>
    <w:rsid w:val="0089391B"/>
    <w:rsid w:val="00896DE0"/>
    <w:rsid w:val="008A28AA"/>
    <w:rsid w:val="008A3D84"/>
    <w:rsid w:val="008A739B"/>
    <w:rsid w:val="008B41DD"/>
    <w:rsid w:val="008C5761"/>
    <w:rsid w:val="008D1499"/>
    <w:rsid w:val="008D6521"/>
    <w:rsid w:val="008E0327"/>
    <w:rsid w:val="008E62E5"/>
    <w:rsid w:val="008E63FA"/>
    <w:rsid w:val="008F1DFF"/>
    <w:rsid w:val="008F282A"/>
    <w:rsid w:val="008F655C"/>
    <w:rsid w:val="008F658B"/>
    <w:rsid w:val="0090354B"/>
    <w:rsid w:val="00904D92"/>
    <w:rsid w:val="00906B26"/>
    <w:rsid w:val="009070F3"/>
    <w:rsid w:val="0091189B"/>
    <w:rsid w:val="00916548"/>
    <w:rsid w:val="00917DCD"/>
    <w:rsid w:val="00920F97"/>
    <w:rsid w:val="00921BC7"/>
    <w:rsid w:val="00941FD0"/>
    <w:rsid w:val="00946519"/>
    <w:rsid w:val="00946C7E"/>
    <w:rsid w:val="00953AA9"/>
    <w:rsid w:val="00954EAF"/>
    <w:rsid w:val="009629BD"/>
    <w:rsid w:val="00962A96"/>
    <w:rsid w:val="00962D96"/>
    <w:rsid w:val="0097252A"/>
    <w:rsid w:val="00982CD2"/>
    <w:rsid w:val="00985F95"/>
    <w:rsid w:val="00994C44"/>
    <w:rsid w:val="0099541E"/>
    <w:rsid w:val="00995A27"/>
    <w:rsid w:val="00995F28"/>
    <w:rsid w:val="009A14A7"/>
    <w:rsid w:val="009A31AC"/>
    <w:rsid w:val="009A5E24"/>
    <w:rsid w:val="009A5F89"/>
    <w:rsid w:val="009C249A"/>
    <w:rsid w:val="009C318C"/>
    <w:rsid w:val="009D05A0"/>
    <w:rsid w:val="009D43A3"/>
    <w:rsid w:val="009D5B0B"/>
    <w:rsid w:val="009D72BB"/>
    <w:rsid w:val="009E69A7"/>
    <w:rsid w:val="009F1F4F"/>
    <w:rsid w:val="009F45B3"/>
    <w:rsid w:val="00A00C29"/>
    <w:rsid w:val="00A14B77"/>
    <w:rsid w:val="00A16869"/>
    <w:rsid w:val="00A21B44"/>
    <w:rsid w:val="00A33E44"/>
    <w:rsid w:val="00A352CA"/>
    <w:rsid w:val="00A37F17"/>
    <w:rsid w:val="00A43447"/>
    <w:rsid w:val="00A43A28"/>
    <w:rsid w:val="00A44092"/>
    <w:rsid w:val="00A44556"/>
    <w:rsid w:val="00A45F44"/>
    <w:rsid w:val="00A47DD4"/>
    <w:rsid w:val="00A510CD"/>
    <w:rsid w:val="00A565DF"/>
    <w:rsid w:val="00A62B2B"/>
    <w:rsid w:val="00A62BBA"/>
    <w:rsid w:val="00A67B44"/>
    <w:rsid w:val="00A71A3A"/>
    <w:rsid w:val="00A80F0E"/>
    <w:rsid w:val="00A85B8B"/>
    <w:rsid w:val="00AB136E"/>
    <w:rsid w:val="00AE05A4"/>
    <w:rsid w:val="00AE53A7"/>
    <w:rsid w:val="00AE6FE1"/>
    <w:rsid w:val="00AE7CB9"/>
    <w:rsid w:val="00AF417E"/>
    <w:rsid w:val="00B044C8"/>
    <w:rsid w:val="00B073CA"/>
    <w:rsid w:val="00B15E8A"/>
    <w:rsid w:val="00B3650E"/>
    <w:rsid w:val="00B5594B"/>
    <w:rsid w:val="00B55DCE"/>
    <w:rsid w:val="00B629CC"/>
    <w:rsid w:val="00B657C4"/>
    <w:rsid w:val="00B67787"/>
    <w:rsid w:val="00B855FB"/>
    <w:rsid w:val="00B860AA"/>
    <w:rsid w:val="00B92F0E"/>
    <w:rsid w:val="00B97912"/>
    <w:rsid w:val="00BA418F"/>
    <w:rsid w:val="00BB59BF"/>
    <w:rsid w:val="00BB79AB"/>
    <w:rsid w:val="00BC4B8B"/>
    <w:rsid w:val="00BC732D"/>
    <w:rsid w:val="00BC7F1A"/>
    <w:rsid w:val="00BF3FB9"/>
    <w:rsid w:val="00BF4A18"/>
    <w:rsid w:val="00BF4DA5"/>
    <w:rsid w:val="00BF7017"/>
    <w:rsid w:val="00C0282A"/>
    <w:rsid w:val="00C02E0D"/>
    <w:rsid w:val="00C06A87"/>
    <w:rsid w:val="00C12379"/>
    <w:rsid w:val="00C16B28"/>
    <w:rsid w:val="00C201B7"/>
    <w:rsid w:val="00C2550D"/>
    <w:rsid w:val="00C26D4A"/>
    <w:rsid w:val="00C32A9F"/>
    <w:rsid w:val="00C34F58"/>
    <w:rsid w:val="00C40281"/>
    <w:rsid w:val="00C409ED"/>
    <w:rsid w:val="00C41ED7"/>
    <w:rsid w:val="00C449E1"/>
    <w:rsid w:val="00C538D9"/>
    <w:rsid w:val="00C564F7"/>
    <w:rsid w:val="00C56529"/>
    <w:rsid w:val="00C7450B"/>
    <w:rsid w:val="00C765F4"/>
    <w:rsid w:val="00C774FA"/>
    <w:rsid w:val="00C81C91"/>
    <w:rsid w:val="00C9142F"/>
    <w:rsid w:val="00C952FA"/>
    <w:rsid w:val="00CA6521"/>
    <w:rsid w:val="00CB0C52"/>
    <w:rsid w:val="00CB42AC"/>
    <w:rsid w:val="00CC0ED3"/>
    <w:rsid w:val="00CC0FAF"/>
    <w:rsid w:val="00CE5A49"/>
    <w:rsid w:val="00CF298E"/>
    <w:rsid w:val="00D00DA0"/>
    <w:rsid w:val="00D07BAC"/>
    <w:rsid w:val="00D10210"/>
    <w:rsid w:val="00D2472B"/>
    <w:rsid w:val="00D254FF"/>
    <w:rsid w:val="00D2577D"/>
    <w:rsid w:val="00D31105"/>
    <w:rsid w:val="00D34A87"/>
    <w:rsid w:val="00D35CDD"/>
    <w:rsid w:val="00D36A4A"/>
    <w:rsid w:val="00D44288"/>
    <w:rsid w:val="00D55D6A"/>
    <w:rsid w:val="00D75939"/>
    <w:rsid w:val="00D83039"/>
    <w:rsid w:val="00D94FF8"/>
    <w:rsid w:val="00DA06E9"/>
    <w:rsid w:val="00DB3C39"/>
    <w:rsid w:val="00DB4827"/>
    <w:rsid w:val="00DB6BAB"/>
    <w:rsid w:val="00DB6C98"/>
    <w:rsid w:val="00DE02F6"/>
    <w:rsid w:val="00DE0FBD"/>
    <w:rsid w:val="00DE13A0"/>
    <w:rsid w:val="00DE3CC4"/>
    <w:rsid w:val="00DE633F"/>
    <w:rsid w:val="00E042D2"/>
    <w:rsid w:val="00E12768"/>
    <w:rsid w:val="00E1531D"/>
    <w:rsid w:val="00E16A4C"/>
    <w:rsid w:val="00E218A8"/>
    <w:rsid w:val="00E2373E"/>
    <w:rsid w:val="00E4290B"/>
    <w:rsid w:val="00E4411A"/>
    <w:rsid w:val="00E53870"/>
    <w:rsid w:val="00E54327"/>
    <w:rsid w:val="00E548C0"/>
    <w:rsid w:val="00E6160F"/>
    <w:rsid w:val="00E61A60"/>
    <w:rsid w:val="00E77F5F"/>
    <w:rsid w:val="00E86FF0"/>
    <w:rsid w:val="00EA370D"/>
    <w:rsid w:val="00EB5085"/>
    <w:rsid w:val="00EB5FEB"/>
    <w:rsid w:val="00EC3781"/>
    <w:rsid w:val="00ED00CC"/>
    <w:rsid w:val="00ED4E2C"/>
    <w:rsid w:val="00EE16F7"/>
    <w:rsid w:val="00EE2457"/>
    <w:rsid w:val="00EE62CB"/>
    <w:rsid w:val="00EF21A9"/>
    <w:rsid w:val="00EF3046"/>
    <w:rsid w:val="00EF4EA0"/>
    <w:rsid w:val="00EF7C6E"/>
    <w:rsid w:val="00F016F4"/>
    <w:rsid w:val="00F02B40"/>
    <w:rsid w:val="00F07820"/>
    <w:rsid w:val="00F07AD4"/>
    <w:rsid w:val="00F12E30"/>
    <w:rsid w:val="00F14465"/>
    <w:rsid w:val="00F14BE4"/>
    <w:rsid w:val="00F1690E"/>
    <w:rsid w:val="00F233E9"/>
    <w:rsid w:val="00F26144"/>
    <w:rsid w:val="00F330FC"/>
    <w:rsid w:val="00F34921"/>
    <w:rsid w:val="00F35D95"/>
    <w:rsid w:val="00F37866"/>
    <w:rsid w:val="00F538CE"/>
    <w:rsid w:val="00F61FB4"/>
    <w:rsid w:val="00F9072A"/>
    <w:rsid w:val="00FB299D"/>
    <w:rsid w:val="00FB3D17"/>
    <w:rsid w:val="00FB44A5"/>
    <w:rsid w:val="00FC0620"/>
    <w:rsid w:val="00FC0F9E"/>
    <w:rsid w:val="00FC135F"/>
    <w:rsid w:val="00FC25E5"/>
    <w:rsid w:val="00FD09B9"/>
    <w:rsid w:val="00FD1099"/>
    <w:rsid w:val="00FD77DC"/>
    <w:rsid w:val="00FE4CEA"/>
    <w:rsid w:val="00FE54FF"/>
    <w:rsid w:val="00FE7BE0"/>
    <w:rsid w:val="00FF0A8C"/>
    <w:rsid w:val="00FF0F6A"/>
    <w:rsid w:val="00FF288A"/>
    <w:rsid w:val="044E5D24"/>
    <w:rsid w:val="04B76BA8"/>
    <w:rsid w:val="059724E8"/>
    <w:rsid w:val="0CB028C8"/>
    <w:rsid w:val="1A371A31"/>
    <w:rsid w:val="2426247A"/>
    <w:rsid w:val="28260C6B"/>
    <w:rsid w:val="2C234F34"/>
    <w:rsid w:val="302F2ABA"/>
    <w:rsid w:val="321872C4"/>
    <w:rsid w:val="3C452537"/>
    <w:rsid w:val="3E2A0A52"/>
    <w:rsid w:val="3E995129"/>
    <w:rsid w:val="4F546F0E"/>
    <w:rsid w:val="51EE16D2"/>
    <w:rsid w:val="579F0718"/>
    <w:rsid w:val="5BD15DA1"/>
    <w:rsid w:val="63117EE9"/>
    <w:rsid w:val="71677368"/>
    <w:rsid w:val="76645D1B"/>
    <w:rsid w:val="76D316E0"/>
    <w:rsid w:val="786B7F9B"/>
    <w:rsid w:val="7914696C"/>
    <w:rsid w:val="7AD64A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qFormat/>
    <w:uiPriority w:val="0"/>
    <w:rPr>
      <w:color w:val="0000FF"/>
      <w:u w:val="single"/>
    </w:rPr>
  </w:style>
  <w:style w:type="character" w:customStyle="1" w:styleId="9">
    <w:name w:val="页眉 Char"/>
    <w:link w:val="4"/>
    <w:uiPriority w:val="0"/>
    <w:rPr>
      <w:kern w:val="2"/>
      <w:sz w:val="18"/>
      <w:szCs w:val="18"/>
    </w:rPr>
  </w:style>
  <w:style w:type="paragraph" w:customStyle="1" w:styleId="10">
    <w:name w:val="Char Char Char Char"/>
    <w:basedOn w:val="1"/>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aa</Company>
  <Pages>8</Pages>
  <Words>616</Words>
  <Characters>3514</Characters>
  <Lines>29</Lines>
  <Paragraphs>8</Paragraphs>
  <TotalTime>111</TotalTime>
  <ScaleCrop>false</ScaleCrop>
  <LinksUpToDate>false</LinksUpToDate>
  <CharactersWithSpaces>4122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2021-05-31T07:53:00Z</dcterms:created>
  <dc:creator>Administrator</dc:creator>
  <cp:lastModifiedBy>Administrator</cp:lastModifiedBy>
  <cp:lastPrinted>2024-03-12T04:01:00Z</cp:lastPrinted>
  <dcterms:modified xsi:type="dcterms:W3CDTF">2024-03-15T01:33:14Z</dcterms:modified>
  <dc:title>粮食竞价交易细则</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82C55FB20093428F8F085812DA25D2B5_13</vt:lpwstr>
  </property>
</Properties>
</file>